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25" w:lineRule="exact"/>
        <w:ind w:left="2952"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631616">
            <v:imagedata r:id="rId4" o:title=""/>
          </v:shape>
        </w:pict>
      </w:r>
      <w:bookmarkStart w:id="0" w:name="br1"/>
      <w:bookmarkEnd w:id="0"/>
      <w:r>
        <w:rPr>
          <w:noProof/>
        </w:rPr>
        <w:pict>
          <v:shape id="_x0000_s1026" type="#_x0000_t75" style="width:5pt;height:5.75pt;margin-top:473.3pt;margin-left:212.1pt;mso-position-horizontal-relative:page;mso-position-vertical-relative:page;position:absolute;z-index:-251632640">
            <v:imagedata r:id="rId5" o:title=""/>
          </v:shape>
        </w:pict>
      </w:r>
      <w:r>
        <w:rPr>
          <w:noProof/>
        </w:rPr>
        <w:pict>
          <v:shape id="_x0000_s1027" type="#_x0000_t75" style="width:2.75pt;height:2.75pt;margin-top:769.7pt;margin-left:116.8pt;mso-position-horizontal-relative:page;mso-position-vertical-relative:page;position:absolute;z-index:-251633664">
            <v:imagedata r:id="rId6" o:title=""/>
          </v:shape>
        </w:pict>
      </w:r>
      <w:r>
        <w:rPr>
          <w:noProof/>
        </w:rPr>
        <w:pict>
          <v:shape id="_x0000_s1028" type="#_x0000_t75" style="width:12.5pt;height:16.25pt;margin-top:311.95pt;margin-left:168.55pt;mso-position-horizontal-relative:page;mso-position-vertical-relative:page;position:absolute;z-index:-251634688">
            <v:imagedata r:id="rId7" o:title=""/>
          </v:shape>
        </w:pict>
      </w:r>
      <w:r>
        <w:rPr>
          <w:noProof/>
        </w:rPr>
        <w:pict>
          <v:shape id="_x0000_s1029" type="#_x0000_t75" style="width:12.5pt;height:16.25pt;margin-top:663.15pt;margin-left:210.6pt;mso-position-horizontal-relative:page;mso-position-vertical-relative:page;position:absolute;z-index:-251635712">
            <v:imagedata r:id="rId7" o:title=""/>
          </v:shape>
        </w:pict>
      </w:r>
      <w:r>
        <w:rPr>
          <w:noProof/>
        </w:rPr>
        <w:pict>
          <v:shape id="_x0000_s1030" type="#_x0000_t75" style="width:12.5pt;height:16.25pt;margin-top:732.95pt;margin-left:203.1pt;mso-position-horizontal-relative:page;mso-position-vertical-relative:page;position:absolute;z-index:-251636736">
            <v:imagedata r:id="rId8" o:title=""/>
          </v:shape>
        </w:pict>
      </w:r>
      <w:r>
        <w:rPr>
          <w:rFonts w:ascii="SimSun" w:hAnsi="SimSun" w:cs="SimSun"/>
          <w:color w:val="000000"/>
          <w:spacing w:val="0"/>
          <w:sz w:val="32"/>
        </w:rPr>
        <w:t>高一思想政治学科素养测评</w:t>
      </w:r>
    </w:p>
    <w:p>
      <w:pPr>
        <w:spacing w:before="258" w:after="0" w:line="250" w:lineRule="exact"/>
        <w:ind w:left="0" w:right="0" w:firstLine="0"/>
        <w:jc w:val="left"/>
        <w:rPr>
          <w:rFonts w:ascii="Times New Roman"/>
          <w:color w:val="000000"/>
          <w:spacing w:val="0"/>
          <w:sz w:val="24"/>
        </w:rPr>
      </w:pPr>
      <w:r>
        <w:rPr>
          <w:rFonts w:ascii="SimSun" w:hAnsi="SimSun" w:cs="SimSun"/>
          <w:color w:val="000000"/>
          <w:spacing w:val="2"/>
          <w:sz w:val="24"/>
        </w:rPr>
        <w:t>一、选择题：本题共</w:t>
      </w:r>
      <w:r>
        <w:rPr>
          <w:rFonts w:ascii="Times New Roman"/>
          <w:color w:val="000000"/>
          <w:spacing w:val="-2"/>
          <w:sz w:val="24"/>
        </w:rPr>
        <w:t xml:space="preserve"> </w:t>
      </w:r>
      <w:r>
        <w:rPr>
          <w:rFonts w:ascii="SimSun"/>
          <w:color w:val="000000"/>
          <w:spacing w:val="7"/>
          <w:sz w:val="24"/>
        </w:rPr>
        <w:t>16</w:t>
      </w:r>
      <w:r>
        <w:rPr>
          <w:rFonts w:ascii="Times New Roman"/>
          <w:color w:val="000000"/>
          <w:spacing w:val="0"/>
          <w:sz w:val="24"/>
        </w:rPr>
        <w:t xml:space="preserve"> </w:t>
      </w:r>
      <w:r>
        <w:rPr>
          <w:rFonts w:ascii="SimSun" w:hAnsi="SimSun" w:cs="SimSun"/>
          <w:color w:val="000000"/>
          <w:spacing w:val="2"/>
          <w:sz w:val="24"/>
        </w:rPr>
        <w:t>小题，每小题</w:t>
      </w:r>
      <w:r>
        <w:rPr>
          <w:rFonts w:ascii="Times New Roman"/>
          <w:color w:val="000000"/>
          <w:spacing w:val="-1"/>
          <w:sz w:val="24"/>
        </w:rPr>
        <w:t xml:space="preserve"> </w:t>
      </w:r>
      <w:r>
        <w:rPr>
          <w:rFonts w:ascii="SimSun"/>
          <w:color w:val="000000"/>
          <w:spacing w:val="0"/>
          <w:sz w:val="24"/>
        </w:rPr>
        <w:t>3</w:t>
      </w:r>
      <w:r>
        <w:rPr>
          <w:rFonts w:ascii="Times New Roman"/>
          <w:color w:val="000000"/>
          <w:spacing w:val="7"/>
          <w:sz w:val="24"/>
        </w:rPr>
        <w:t xml:space="preserve"> </w:t>
      </w:r>
      <w:r>
        <w:rPr>
          <w:rFonts w:ascii="SimSun" w:hAnsi="SimSun" w:cs="SimSun"/>
          <w:color w:val="000000"/>
          <w:spacing w:val="4"/>
          <w:sz w:val="24"/>
        </w:rPr>
        <w:t>分，共</w:t>
      </w:r>
      <w:r>
        <w:rPr>
          <w:rFonts w:ascii="Times New Roman"/>
          <w:color w:val="000000"/>
          <w:spacing w:val="-3"/>
          <w:sz w:val="24"/>
        </w:rPr>
        <w:t xml:space="preserve"> </w:t>
      </w:r>
      <w:r>
        <w:rPr>
          <w:rFonts w:ascii="SimSun"/>
          <w:color w:val="000000"/>
          <w:spacing w:val="7"/>
          <w:sz w:val="24"/>
        </w:rPr>
        <w:t>48</w:t>
      </w:r>
      <w:r>
        <w:rPr>
          <w:rFonts w:ascii="Times New Roman"/>
          <w:color w:val="000000"/>
          <w:spacing w:val="0"/>
          <w:sz w:val="24"/>
        </w:rPr>
        <w:t xml:space="preserve"> </w:t>
      </w:r>
      <w:r>
        <w:rPr>
          <w:rFonts w:ascii="SimSun" w:hAnsi="SimSun" w:cs="SimSun"/>
          <w:color w:val="000000"/>
          <w:spacing w:val="0"/>
          <w:sz w:val="24"/>
        </w:rPr>
        <w:t>分。</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11</w:t>
      </w:r>
      <w:r>
        <w:rPr>
          <w:rFonts w:ascii="Times New Roman"/>
          <w:color w:val="000000"/>
          <w:spacing w:val="0"/>
          <w:sz w:val="21"/>
        </w:rPr>
        <w:t xml:space="preserve"> </w:t>
      </w:r>
      <w:r>
        <w:rPr>
          <w:rFonts w:ascii="SimSun" w:hAnsi="SimSun" w:cs="SimSun"/>
          <w:color w:val="000000"/>
          <w:spacing w:val="0"/>
          <w:sz w:val="21"/>
        </w:rPr>
        <w:t>月</w:t>
      </w:r>
      <w:r>
        <w:rPr>
          <w:rFonts w:ascii="Times New Roman"/>
          <w:color w:val="000000"/>
          <w:spacing w:val="0"/>
          <w:sz w:val="21"/>
        </w:rPr>
        <w:t xml:space="preserve"> </w:t>
      </w:r>
      <w:r>
        <w:rPr>
          <w:rFonts w:ascii="SimSun"/>
          <w:color w:val="000000"/>
          <w:spacing w:val="0"/>
          <w:sz w:val="21"/>
        </w:rPr>
        <w:t>5</w:t>
      </w:r>
      <w:r>
        <w:rPr>
          <w:rFonts w:ascii="Times New Roman"/>
          <w:color w:val="000000"/>
          <w:spacing w:val="0"/>
          <w:sz w:val="21"/>
        </w:rPr>
        <w:t xml:space="preserve"> </w:t>
      </w:r>
      <w:r>
        <w:rPr>
          <w:rFonts w:ascii="SimSun" w:hAnsi="SimSun" w:cs="SimSun"/>
          <w:color w:val="000000"/>
          <w:spacing w:val="0"/>
          <w:sz w:val="21"/>
        </w:rPr>
        <w:t>日，湖北考古队在江汉平原核心区发现距今</w:t>
      </w:r>
      <w:r>
        <w:rPr>
          <w:rFonts w:ascii="Times New Roman"/>
          <w:color w:val="000000"/>
          <w:spacing w:val="0"/>
          <w:sz w:val="21"/>
        </w:rPr>
        <w:t xml:space="preserve"> </w:t>
      </w:r>
      <w:r>
        <w:rPr>
          <w:rFonts w:ascii="SimSun"/>
          <w:color w:val="000000"/>
          <w:spacing w:val="0"/>
          <w:sz w:val="21"/>
        </w:rPr>
        <w:t>8500</w:t>
      </w:r>
      <w:r>
        <w:rPr>
          <w:rFonts w:ascii="Times New Roman"/>
          <w:color w:val="000000"/>
          <w:spacing w:val="0"/>
          <w:sz w:val="21"/>
        </w:rPr>
        <w:t xml:space="preserve"> </w:t>
      </w:r>
      <w:r>
        <w:rPr>
          <w:rFonts w:ascii="SimSun" w:hAnsi="SimSun" w:cs="SimSun"/>
          <w:color w:val="000000"/>
          <w:spacing w:val="0"/>
          <w:sz w:val="21"/>
        </w:rPr>
        <w:t>年左右的林鸟台遗址，该遗址属于新石</w:t>
      </w:r>
    </w:p>
    <w:p>
      <w:pPr>
        <w:spacing w:before="232" w:after="0" w:line="220" w:lineRule="exact"/>
        <w:ind w:left="0" w:right="0" w:firstLine="0"/>
        <w:jc w:val="left"/>
        <w:rPr>
          <w:rFonts w:ascii="Times New Roman"/>
          <w:color w:val="000000"/>
          <w:spacing w:val="0"/>
          <w:sz w:val="21"/>
        </w:rPr>
      </w:pPr>
      <w:r>
        <w:rPr>
          <w:rFonts w:ascii="SimSun" w:hAnsi="SimSun" w:cs="SimSun"/>
          <w:color w:val="000000"/>
          <w:spacing w:val="-5"/>
          <w:sz w:val="21"/>
        </w:rPr>
        <w:t>器时代彭头山文化，是目前湖北发现的时代最早的新石器时代遗存。下列选项符合该时期社会状况的是（</w:t>
      </w:r>
      <w:r>
        <w:rPr>
          <w:rFonts w:ascii="Times New Roman"/>
          <w:color w:val="000000"/>
          <w:spacing w:val="268"/>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①原始畜牧业和原始农业开始出现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②这个时期没有剥削和压迫，是“理想中的黄金时代”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③体力劳动和脑力劳动已分工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④人们共同占有生产资料，平均分配劳动产品</w:t>
      </w:r>
    </w:p>
    <w:p>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SimSun" w:hAnsi="SimSun" w:cs="SimSun"/>
          <w:color w:val="000000"/>
          <w:spacing w:val="0"/>
          <w:sz w:val="21"/>
        </w:rPr>
        <w:t>马克思关于劳动与财富关系的预见性论述具有深远意义，以下是其相关论述：</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在资本主义制度下，工人</w:t>
      </w:r>
      <w:r>
        <w:rPr>
          <w:rFonts w:ascii="Times New Roman"/>
          <w:color w:val="000000"/>
          <w:spacing w:val="158"/>
          <w:sz w:val="21"/>
        </w:rPr>
        <w:t xml:space="preserve"> </w:t>
      </w:r>
      <w:r>
        <w:rPr>
          <w:rFonts w:ascii="SimSun" w:hAnsi="SimSun" w:cs="SimSun"/>
          <w:color w:val="000000"/>
          <w:spacing w:val="0"/>
          <w:sz w:val="21"/>
        </w:rPr>
        <w:t>劳动不再是自愿的、自由的活动，而是被迫的、异化的劳动。工人生产的财富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越多，他们自身就越贫穷，劳动成为一种外在的、压迫性的力量。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在未来社会主义和共产主义社会，会缩短劳动时间、增加可自由支配的时间。在社会主义制度下，劳动还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仅仅或主要是谋生的手段，并受旧分工的约束；只有到共产主义社会，劳动才不再仅仅是谋生的手段，而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同时成为生活的第一需要。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对上述论述理解正确的是（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①资产阶级对雇佣工人实行残酷的剥削和压迫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②个人的自由发展在共产主义社会能通过劳动得以实现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③剩余价值学说揭示了人类社会发展的一般规律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④社会主义社会已完全克服劳动异化，使劳动成为自由自觉的活动</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4"/>
          <w:sz w:val="21"/>
        </w:rPr>
        <w:t>莫尔的《乌托邦》、康帕内拉的《太阳城》和马布利《论法制或法律的原则》批判资本主义带来的各种灾</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难和罪恶，描述了一个没有压迫、人人平等的理想社会。材料表明（</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①在资本主义到来之时，一些先进分子表达了对未来美好社会的诉求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②空想社会主义者仅从理性、正义等原则出发，揭露资本主义的弊端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③空想社会主义找到了建立新社会</w:t>
      </w:r>
      <w:r>
        <w:rPr>
          <w:rFonts w:ascii="Times New Roman"/>
          <w:color w:val="000000"/>
          <w:spacing w:val="158"/>
          <w:sz w:val="21"/>
        </w:rPr>
        <w:t xml:space="preserve"> </w:t>
      </w:r>
      <w:r>
        <w:rPr>
          <w:rFonts w:ascii="SimSun" w:hAnsi="SimSun" w:cs="SimSun"/>
          <w:color w:val="000000"/>
          <w:spacing w:val="0"/>
          <w:sz w:val="21"/>
        </w:rPr>
        <w:t>强大力量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④这一时期主要代表人物的思想为科学社会主义的诞生奠定了理论基石</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改革开放是决定当代中国命运</w:t>
      </w:r>
      <w:r>
        <w:rPr>
          <w:rFonts w:ascii="Times New Roman"/>
          <w:color w:val="000000"/>
          <w:spacing w:val="158"/>
          <w:sz w:val="21"/>
        </w:rPr>
        <w:t xml:space="preserve"> </w:t>
      </w:r>
      <w:r>
        <w:rPr>
          <w:rFonts w:ascii="SimSun" w:hAnsi="SimSun" w:cs="SimSun"/>
          <w:color w:val="000000"/>
          <w:spacing w:val="0"/>
          <w:sz w:val="21"/>
        </w:rPr>
        <w:t>关键一招。关于改革开放与中国特色社会主义的关系，下列理解正确的</w:t>
      </w:r>
    </w:p>
    <w:p>
      <w:pPr>
        <w:spacing w:before="4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7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 w:name="br2"/>
      <w:bookmarkEnd w:id="1"/>
      <w:r>
        <w:rPr>
          <w:noProof/>
        </w:rPr>
        <w:pict>
          <v:shape id="_x0000_s1031" type="#_x0000_t75" style="width:2.75pt;height:2.75pt;margin-top:72.55pt;margin-left:404.15pt;mso-position-horizontal-relative:page;mso-position-vertical-relative:page;position:absolute;z-index:-251637760">
            <v:imagedata r:id="rId4" o:title=""/>
          </v:shape>
        </w:pict>
      </w:r>
      <w:r>
        <w:rPr>
          <w:noProof/>
        </w:rPr>
        <w:pict>
          <v:shape id="_x0000_s1032" type="#_x0000_t75" style="width:5pt;height:5.75pt;margin-top:473.3pt;margin-left:212.1pt;mso-position-horizontal-relative:page;mso-position-vertical-relative:page;position:absolute;z-index:-251638784">
            <v:imagedata r:id="rId5" o:title=""/>
          </v:shape>
        </w:pict>
      </w:r>
      <w:r>
        <w:rPr>
          <w:noProof/>
        </w:rPr>
        <w:pict>
          <v:shape id="_x0000_s1033" type="#_x0000_t75" style="width:2.75pt;height:2.75pt;margin-top:769.7pt;margin-left:116.8pt;mso-position-horizontal-relative:page;mso-position-vertical-relative:page;position:absolute;z-index:-251639808">
            <v:imagedata r:id="rId9" o:title=""/>
          </v:shape>
        </w:pict>
      </w: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①改革开放是中国特色社会主义的实践起点，开启了建设中国特色社会主义的新时期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②中国特色社会主义是改革开放的根本方向，确保了改革开放始终沿着正确道路前进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③改革开放的实质是社会主义制度的完善和发展，与中国特色社会主义理论创新同步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④中国特色社会主义理论体系指导了改革开放，改革开放又丰富和发展了该理论体系</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2"/>
          <w:sz w:val="21"/>
        </w:rPr>
        <w:t>习近平总书记指出，“当今世界，要说哪个政党、哪个国家、哪个民族能够自信的话，那么中国共产党、</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中华人民共和国、中华民族是最有理由自信的。”下列事件呈现出来的“四个自信”理解正确的是（</w:t>
      </w:r>
      <w:r>
        <w:rPr>
          <w:rFonts w:ascii="Times New Roman"/>
          <w:color w:val="000000"/>
          <w:spacing w:val="265"/>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①构建新型举国体制，关键核心技术攻关取得新突破——坚定制度自信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②用社会主义核心价值观引领社会思潮、凝聚社会共识——坚定理论自信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③坚持用习近平新时代中国特色社会主义思想指导数字经济高质量发展——坚定文化自信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④在中国共产党的领导下，以中国式现代化推进中华民族伟大复兴——坚定道路自信</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2"/>
          <w:sz w:val="21"/>
        </w:rPr>
        <w:t>时代不同，我们社会面临的主要矛盾也会不同。自</w:t>
      </w:r>
      <w:r>
        <w:rPr>
          <w:rFonts w:ascii="Times New Roman"/>
          <w:color w:val="000000"/>
          <w:spacing w:val="-3"/>
          <w:sz w:val="21"/>
        </w:rPr>
        <w:t xml:space="preserve"> </w:t>
      </w:r>
      <w:r>
        <w:rPr>
          <w:rFonts w:ascii="SimSun"/>
          <w:color w:val="000000"/>
          <w:spacing w:val="0"/>
          <w:sz w:val="21"/>
        </w:rPr>
        <w:t>1840</w:t>
      </w:r>
      <w:r>
        <w:rPr>
          <w:rFonts w:ascii="Times New Roman"/>
          <w:color w:val="000000"/>
          <w:spacing w:val="-5"/>
          <w:sz w:val="21"/>
        </w:rPr>
        <w:t xml:space="preserve"> </w:t>
      </w:r>
      <w:r>
        <w:rPr>
          <w:rFonts w:ascii="SimSun" w:hAnsi="SimSun" w:cs="SimSun"/>
          <w:color w:val="000000"/>
          <w:spacing w:val="-1"/>
          <w:sz w:val="21"/>
        </w:rPr>
        <w:t>年鸦片战争以来，我国社会主要矛盾历经多次变</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化。下列关于我国近代以来社会主要矛盾按时间先后排列正确的是（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①人民日益增长的物质文化需要同落后的社会生产之间的矛盾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②人民日益增长的美好生活需要和不平衡不充分的发展之间的矛盾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③中华民族同帝国主义之间的矛盾、封建主义与人民大众的矛盾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④人民对于建立先进的工业国的要求同落后的农业国的现实之间的矛盾，人民对于经济文化迅速发展的需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要同当前经济文化不能满足人民需要的状况之间的矛盾</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③—①—④—②</w:t>
      </w:r>
      <w:r>
        <w:rPr>
          <w:rFonts w:ascii="Times New Roman"/>
          <w:color w:val="000000"/>
          <w:spacing w:val="3095"/>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③—④—①—②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④—①—③—②</w:t>
      </w:r>
      <w:r>
        <w:rPr>
          <w:rFonts w:ascii="Times New Roman"/>
          <w:color w:val="000000"/>
          <w:spacing w:val="3107"/>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④—③—①—②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4"/>
          <w:sz w:val="21"/>
        </w:rPr>
        <w:t>习近平总书记提出的“四个伟大”是新时代中国共产党的重大历史使命，“四个伟大”相互联系、相互贯</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通、相互作用、有机统一，共同支撑起中华民族伟大复兴的实践图景。下列对“四个伟大”的认识正确的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①伟大梦想是“总目标”，引领着伟大斗争、伟大工程、伟大事业的实现，在其中起着决定性的作用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②伟大斗争是“动力源”，要求中国共产党要不断增强政治领导力、思想引领力、群众组织力、社会号召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力，以永葆旺盛生命力和强大战斗力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③伟大工程是“根本保证”，要求中国共产党要始终成为时代先锋、民族脊梁，始终成为马克思主义执政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党，自身必须始终过硬</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2" w:name="br3"/>
      <w:bookmarkEnd w:id="2"/>
      <w:r>
        <w:rPr>
          <w:noProof/>
        </w:rPr>
        <w:pict>
          <v:shape id="_x0000_s1034" type="#_x0000_t75" style="width:2.75pt;height:2.75pt;margin-top:72.55pt;margin-left:404.15pt;mso-position-horizontal-relative:page;mso-position-vertical-relative:page;position:absolute;z-index:-251640832">
            <v:imagedata r:id="rId4" o:title=""/>
          </v:shape>
        </w:pict>
      </w:r>
      <w:r>
        <w:rPr>
          <w:noProof/>
        </w:rPr>
        <w:pict>
          <v:shape id="_x0000_s1035" type="#_x0000_t75" style="width:5pt;height:5.75pt;margin-top:473.3pt;margin-left:212.1pt;mso-position-horizontal-relative:page;mso-position-vertical-relative:page;position:absolute;z-index:-251641856">
            <v:imagedata r:id="rId5" o:title=""/>
          </v:shape>
        </w:pict>
      </w:r>
      <w:r>
        <w:rPr>
          <w:noProof/>
        </w:rPr>
        <w:pict>
          <v:shape id="_x0000_s1036" type="#_x0000_t75" style="width:2.75pt;height:2.75pt;margin-top:769.7pt;margin-left:116.8pt;mso-position-horizontal-relative:page;mso-position-vertical-relative:page;position:absolute;z-index:-251642880">
            <v:imagedata r:id="rId9" o:title=""/>
          </v:shape>
        </w:pict>
      </w:r>
      <w:r>
        <w:rPr>
          <w:rFonts w:ascii="SimSun" w:hAnsi="SimSun" w:cs="SimSun"/>
          <w:color w:val="000000"/>
          <w:spacing w:val="0"/>
          <w:sz w:val="21"/>
        </w:rPr>
        <w:t>④伟大事业是“路径”，要求党坚定“四个自信”，统筹推进“五位一体”总体布局和协调推进“四个全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面”战略布局</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SimSun" w:hAnsi="SimSun" w:cs="SimSun"/>
          <w:color w:val="000000"/>
          <w:spacing w:val="0"/>
          <w:sz w:val="21"/>
        </w:rPr>
        <w:t>生产关系指人们在物质资料的生产过程中形成的社会关系，含生产资料所有制、人们在生产中的地位和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相互关系、产品分配的形式等。下列关于生产资料所有制，说法正确的是（</w:t>
      </w:r>
      <w:r>
        <w:rPr>
          <w:rFonts w:ascii="Times New Roman"/>
          <w:color w:val="000000"/>
          <w:spacing w:val="368"/>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①不同社会的生产资料所有制不同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②同一社会的生产资料所有制相同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③生产资料所有制是一个国家经济制度的基础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④生产资料所有制决定一个社会的基本性质和发展方向</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年中粮集团聚焦粮油核心主业，退出巧克力、方便面、金融等非优势领域，将资源集中于粮食安全</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相关的上游掌控、物流保障等环节。同时，中粮研究院与粮谷、油脂等专业化公司加强合作，畅通人员双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向流动渠道，提升了企业的科技创新能力。这表明中粮集团（</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①更加关注其在粮食领域所承担的保障供给、稳定价格的职能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②通过推进国有企业混合所有制改革有效利用了各方面的资源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③通过国有资本优化配置助力提升其对粮食产业链的掌控能力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④通过退出非优势领域聚焦粮油核心主业提升了企业盈利能力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随州市某村村集体在摸清</w:t>
      </w:r>
      <w:r>
        <w:rPr>
          <w:rFonts w:ascii="Times New Roman"/>
          <w:color w:val="000000"/>
          <w:spacing w:val="0"/>
          <w:sz w:val="21"/>
        </w:rPr>
        <w:t xml:space="preserve"> </w:t>
      </w:r>
      <w:r>
        <w:rPr>
          <w:rFonts w:ascii="SimSun"/>
          <w:color w:val="000000"/>
          <w:spacing w:val="0"/>
          <w:sz w:val="21"/>
        </w:rPr>
        <w:t>2700</w:t>
      </w:r>
      <w:r>
        <w:rPr>
          <w:rFonts w:ascii="Times New Roman"/>
          <w:color w:val="000000"/>
          <w:spacing w:val="0"/>
          <w:sz w:val="21"/>
        </w:rPr>
        <w:t xml:space="preserve"> </w:t>
      </w:r>
      <w:r>
        <w:rPr>
          <w:rFonts w:ascii="SimSun" w:hAnsi="SimSun" w:cs="SimSun"/>
          <w:color w:val="000000"/>
          <w:spacing w:val="0"/>
          <w:sz w:val="21"/>
        </w:rPr>
        <w:t>亩山林等家底后，以闲置林地为资产入股，在立足供需对接的基础上联</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合企业投资</w:t>
      </w:r>
      <w:r>
        <w:rPr>
          <w:rFonts w:ascii="Times New Roman"/>
          <w:color w:val="000000"/>
          <w:spacing w:val="0"/>
          <w:sz w:val="21"/>
        </w:rPr>
        <w:t xml:space="preserve"> </w:t>
      </w:r>
      <w:r>
        <w:rPr>
          <w:rFonts w:ascii="SimSun"/>
          <w:color w:val="000000"/>
          <w:spacing w:val="0"/>
          <w:sz w:val="21"/>
        </w:rPr>
        <w:t>500</w:t>
      </w:r>
      <w:r>
        <w:rPr>
          <w:rFonts w:ascii="Times New Roman"/>
          <w:color w:val="000000"/>
          <w:spacing w:val="0"/>
          <w:sz w:val="21"/>
        </w:rPr>
        <w:t xml:space="preserve"> </w:t>
      </w:r>
      <w:r>
        <w:rPr>
          <w:rFonts w:ascii="SimSun" w:hAnsi="SimSun" w:cs="SimSun"/>
          <w:color w:val="000000"/>
          <w:spacing w:val="0"/>
          <w:sz w:val="21"/>
        </w:rPr>
        <w:t>万元打造“森呼吸”露营地。村民既能拿土地租金，在基地务工获薪金，年底还能分集体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盈利分红。这表明，发展农村经济应（</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①变革农村基本经营制度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②以市场为导向优化农村产业结构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③适度增加农业资金投入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④推动集体林地所有权的适度转移</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1"/>
          <w:sz w:val="21"/>
        </w:rPr>
        <w:t>中共中央十五五规划建议指出，落实民营经济促进法，从法律和制度上保障平等使用生产要素、公平参</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与市场竞争、有效保护合法权益，发展壮大民营经济。这表明，发展壮大民营经济（</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①是坚持“两个毫不动摇”，巩固和发展非公有制经济、民营经济的必然要求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②要坚持权利平等、机会平等和规则平等，废除对非公有制经济的不合理规定</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3" w:name="br4"/>
      <w:bookmarkEnd w:id="3"/>
      <w:r>
        <w:rPr>
          <w:noProof/>
        </w:rPr>
        <w:pict>
          <v:shape id="_x0000_s1037" type="#_x0000_t75" style="width:2.75pt;height:2.75pt;margin-top:72.55pt;margin-left:404.15pt;mso-position-horizontal-relative:page;mso-position-vertical-relative:page;position:absolute;z-index:-251643904">
            <v:imagedata r:id="rId4" o:title=""/>
          </v:shape>
        </w:pict>
      </w:r>
      <w:r>
        <w:rPr>
          <w:noProof/>
        </w:rPr>
        <w:pict>
          <v:shape id="_x0000_s1038" type="#_x0000_t75" style="width:5pt;height:5.75pt;margin-top:473.3pt;margin-left:212.1pt;mso-position-horizontal-relative:page;mso-position-vertical-relative:page;position:absolute;z-index:-251644928">
            <v:imagedata r:id="rId5" o:title=""/>
          </v:shape>
        </w:pict>
      </w:r>
      <w:r>
        <w:rPr>
          <w:noProof/>
        </w:rPr>
        <w:pict>
          <v:shape id="_x0000_s1039" type="#_x0000_t75" style="width:2.75pt;height:2.75pt;margin-top:769.7pt;margin-left:116.8pt;mso-position-horizontal-relative:page;mso-position-vertical-relative:page;position:absolute;z-index:-251645952">
            <v:imagedata r:id="rId6" o:title=""/>
          </v:shape>
        </w:pict>
      </w:r>
      <w:r>
        <w:rPr>
          <w:noProof/>
        </w:rPr>
        <w:pict>
          <v:shape id="_x0000_s1040" type="#_x0000_t75" style="width:12.5pt;height:16.25pt;margin-top:374.2pt;margin-left:273.6pt;mso-position-horizontal-relative:page;mso-position-vertical-relative:page;position:absolute;z-index:-251646976">
            <v:imagedata r:id="rId10" o:title=""/>
          </v:shape>
        </w:pict>
      </w:r>
      <w:r>
        <w:rPr>
          <w:noProof/>
        </w:rPr>
        <w:pict>
          <v:shape id="_x0000_s1041" type="#_x0000_t75" style="width:4.25pt;height:8.75pt;margin-top:482.3pt;margin-left:60.55pt;mso-position-horizontal-relative:page;mso-position-vertical-relative:page;position:absolute;z-index:-251648000">
            <v:imagedata r:id="rId11" o:title=""/>
          </v:shape>
        </w:pict>
      </w:r>
      <w:r>
        <w:rPr>
          <w:rFonts w:ascii="SimSun" w:hAnsi="SimSun" w:cs="SimSun"/>
          <w:color w:val="000000"/>
          <w:spacing w:val="0"/>
          <w:sz w:val="21"/>
        </w:rPr>
        <w:t>③要营造各种所有制主体依法平等使用生产要素，同等受法律保护的市场环境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④能够激发民营经济的市场活力，更好地巩固我国社会主义经济制度的基础</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2"/>
          <w:sz w:val="21"/>
        </w:rPr>
        <w:t>在美丽乡村建设行动中，某县深入实施城乡环卫一体化工程，配备环卫基础设施，招标引进专业环卫公</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司负责全县范围的污染水体治理。该县招标引进专业环卫公司的目的是（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①发挥社会资本作用，增加公共产品供给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②节约公共服务支出，缓解财政资金压力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③引入市场竞争机制，提高公共服务效率</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④改善公共产品结构，增强地方经济实力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0"/>
          <w:sz w:val="21"/>
        </w:rPr>
        <w:t xml:space="preserve"> </w:t>
      </w:r>
      <w:r>
        <w:rPr>
          <w:rFonts w:ascii="SimSun"/>
          <w:color w:val="000000"/>
          <w:spacing w:val="0"/>
          <w:sz w:val="21"/>
        </w:rPr>
        <w:t>2025</w:t>
      </w:r>
      <w:r>
        <w:rPr>
          <w:rFonts w:ascii="Times New Roman"/>
          <w:color w:val="000000"/>
          <w:spacing w:val="-17"/>
          <w:sz w:val="21"/>
        </w:rPr>
        <w:t xml:space="preserve"> </w:t>
      </w:r>
      <w:r>
        <w:rPr>
          <w:rFonts w:ascii="SimSun" w:hAnsi="SimSun" w:cs="SimSun"/>
          <w:color w:val="000000"/>
          <w:spacing w:val="-6"/>
          <w:sz w:val="21"/>
        </w:rPr>
        <w:t>年暑期，多家外卖平台为抢占市场份额，推出“零元购”“大额补贴”等促销活动。然而，这种“内</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卷式”竞争导致中小餐饮商家利润被严重压缩，部分商家通过降低餐品质量维持运营，最终损害了消费者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权益。多地餐饮协会呼吁平台停止恶性竞争，建立行业自律规范。对此分析正确的是（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①平台通过补贴引导消费，体现了市场价格机制</w:t>
      </w:r>
      <w:r>
        <w:rPr>
          <w:rFonts w:ascii="Times New Roman"/>
          <w:color w:val="000000"/>
          <w:spacing w:val="158"/>
          <w:sz w:val="21"/>
        </w:rPr>
        <w:t xml:space="preserve"> </w:t>
      </w:r>
      <w:r>
        <w:rPr>
          <w:rFonts w:ascii="SimSun" w:hAnsi="SimSun" w:cs="SimSun"/>
          <w:color w:val="000000"/>
          <w:spacing w:val="0"/>
          <w:sz w:val="21"/>
        </w:rPr>
        <w:t>调节作用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②商家降低产品质量参与竞争，反映出市场调节存在盲目性的固有弊端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③“内卷式”竞争损害多方利益，表明维护市场秩序需要健全公平竞争规则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④餐饮协会呼吁行业自律，说明克服市场缺陷必须依靠政府干预实现</w:t>
      </w:r>
    </w:p>
    <w:p>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SimSun" w:hAnsi="SimSun" w:cs="SimSun"/>
          <w:color w:val="000000"/>
          <w:spacing w:val="0"/>
          <w:sz w:val="21"/>
        </w:rPr>
        <w:t>①②</w:t>
      </w:r>
      <w:r>
        <w:rPr>
          <w:rFonts w:ascii="Times New Roman"/>
          <w:color w:val="000000"/>
          <w:spacing w:val="165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7</w:t>
      </w:r>
      <w:r>
        <w:rPr>
          <w:rFonts w:ascii="Times New Roman"/>
          <w:color w:val="000000"/>
          <w:spacing w:val="0"/>
          <w:sz w:val="21"/>
        </w:rPr>
        <w:t xml:space="preserve"> </w:t>
      </w:r>
      <w:r>
        <w:rPr>
          <w:rFonts w:ascii="SimSun" w:hAnsi="SimSun" w:cs="SimSun"/>
          <w:color w:val="000000"/>
          <w:spacing w:val="0"/>
          <w:sz w:val="21"/>
        </w:rPr>
        <w:t>月，国家市场监管总局等</w:t>
      </w:r>
      <w:r>
        <w:rPr>
          <w:rFonts w:ascii="Times New Roman"/>
          <w:color w:val="000000"/>
          <w:spacing w:val="0"/>
          <w:sz w:val="21"/>
        </w:rPr>
        <w:t xml:space="preserve"> </w:t>
      </w:r>
      <w:r>
        <w:rPr>
          <w:rFonts w:ascii="SimSun"/>
          <w:color w:val="000000"/>
          <w:spacing w:val="0"/>
          <w:sz w:val="21"/>
        </w:rPr>
        <w:t>3</w:t>
      </w:r>
      <w:r>
        <w:rPr>
          <w:rFonts w:ascii="Times New Roman"/>
          <w:color w:val="000000"/>
          <w:spacing w:val="0"/>
          <w:sz w:val="21"/>
        </w:rPr>
        <w:t xml:space="preserve"> </w:t>
      </w:r>
      <w:r>
        <w:rPr>
          <w:rFonts w:ascii="SimSun" w:hAnsi="SimSun" w:cs="SimSun"/>
          <w:color w:val="000000"/>
          <w:spacing w:val="-7"/>
          <w:sz w:val="21"/>
        </w:rPr>
        <w:t>部门共同发布《中华人民共和国价格法修正草案（征求意见稿）》。</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此次修订不仅注重巩固主要由市场形成价格的机制，还着力完善价格调控监管体系，提出推进价格与竞争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政策协同、健全以成本为基础的价格约束机制、探索对重要民生商品实施价格区间管理等新举措。此次《价</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格法》修订（</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①有利于推进价格与竞争政策协同，为维护全国统一大市场、优化营商环境提供更坚实的法治保障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②意味着政府对重要民生商品的价格形成将发挥决定性作用，通过区间管理或直接定价更好保障基本民生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③有助于推动政府定价的规范化与精细化，健全以成本为基础的定价约束机制，提升价格治理能力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④探索对重要民生商品实施价格区间管理的新举措，其根本目的在于健全和完善重要民生商品的定价机制</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0"/>
          <w:sz w:val="21"/>
        </w:rPr>
        <w:t xml:space="preserve"> </w:t>
      </w:r>
      <w:r>
        <w:rPr>
          <w:rFonts w:ascii="SimSun"/>
          <w:color w:val="000000"/>
          <w:spacing w:val="0"/>
          <w:sz w:val="21"/>
        </w:rPr>
        <w:t>2025</w:t>
      </w:r>
      <w:r>
        <w:rPr>
          <w:rFonts w:ascii="Times New Roman"/>
          <w:color w:val="000000"/>
          <w:spacing w:val="-6"/>
          <w:sz w:val="21"/>
        </w:rPr>
        <w:t xml:space="preserve"> </w:t>
      </w:r>
      <w:r>
        <w:rPr>
          <w:rFonts w:ascii="SimSun" w:hAnsi="SimSun" w:cs="SimSun"/>
          <w:color w:val="000000"/>
          <w:spacing w:val="-1"/>
          <w:sz w:val="21"/>
        </w:rPr>
        <w:t>年，某省财政统筹安排巨额资金，聚焦“难有所助”“病有所医”“老有所养”等关键领域，通过</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动态调整救助标准、提高医保补助、提升养老金水平、支持企业稳岗扩岗、加强民生资金监管等一系列举</w:t>
      </w:r>
    </w:p>
    <w:p>
      <w:pPr>
        <w:spacing w:before="432"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4" w:name="br5"/>
      <w:bookmarkEnd w:id="4"/>
      <w:r>
        <w:rPr>
          <w:noProof/>
        </w:rPr>
        <w:pict>
          <v:shape id="_x0000_s1042" type="#_x0000_t75" style="width:2.75pt;height:2.75pt;margin-top:72.55pt;margin-left:404.15pt;mso-position-horizontal-relative:page;mso-position-vertical-relative:page;position:absolute;z-index:-251649024">
            <v:imagedata r:id="rId4" o:title=""/>
          </v:shape>
        </w:pict>
      </w:r>
      <w:r>
        <w:rPr>
          <w:noProof/>
        </w:rPr>
        <w:pict>
          <v:shape id="_x0000_s1043" type="#_x0000_t75" style="width:5pt;height:5.75pt;margin-top:473.3pt;margin-left:212.1pt;mso-position-horizontal-relative:page;mso-position-vertical-relative:page;position:absolute;z-index:-251650048">
            <v:imagedata r:id="rId5" o:title=""/>
          </v:shape>
        </w:pict>
      </w:r>
      <w:r>
        <w:rPr>
          <w:noProof/>
        </w:rPr>
        <w:pict>
          <v:shape id="_x0000_s1044" type="#_x0000_t75" style="width:2.75pt;height:2.75pt;margin-top:769.7pt;margin-left:116.8pt;mso-position-horizontal-relative:page;mso-position-vertical-relative:page;position:absolute;z-index:-251651072">
            <v:imagedata r:id="rId9" o:title=""/>
          </v:shape>
        </w:pict>
      </w:r>
      <w:r>
        <w:rPr>
          <w:rFonts w:ascii="SimSun" w:hAnsi="SimSun" w:cs="SimSun"/>
          <w:color w:val="000000"/>
          <w:spacing w:val="0"/>
          <w:sz w:val="21"/>
        </w:rPr>
        <w:t>措，持续加强基本民生保障。这表明该省（</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①实施区域政策，通过转移支付促进落后地区经济发展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②实施宏观经济政策，通过财政手段保持经济稳定增长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③加强和优化公共服务，保障社会公平正义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④通过实施产业政策，推动产业结构优化升级</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0"/>
          <w:sz w:val="21"/>
        </w:rPr>
        <w:t xml:space="preserve"> </w:t>
      </w:r>
      <w:r>
        <w:rPr>
          <w:rFonts w:ascii="SimSun" w:hAnsi="SimSun" w:cs="SimSun"/>
          <w:color w:val="000000"/>
          <w:spacing w:val="0"/>
          <w:sz w:val="21"/>
        </w:rPr>
        <w:t>“十四五”时期，我国宏观政策精准协同，注重激发市场主体活力。对服务业经营主体贷款进行贴息、</w:t>
      </w:r>
    </w:p>
    <w:p>
      <w:pPr>
        <w:spacing w:before="228" w:after="0" w:line="225" w:lineRule="exact"/>
        <w:ind w:left="0" w:right="0" w:firstLine="0"/>
        <w:jc w:val="left"/>
        <w:rPr>
          <w:rFonts w:ascii="Times New Roman"/>
          <w:color w:val="000000"/>
          <w:spacing w:val="0"/>
          <w:sz w:val="21"/>
        </w:rPr>
      </w:pPr>
      <w:r>
        <w:rPr>
          <w:rFonts w:ascii="SimSun" w:hAnsi="SimSun" w:cs="SimSun"/>
          <w:color w:val="000000"/>
          <w:spacing w:val="-1"/>
          <w:sz w:val="21"/>
        </w:rPr>
        <w:t>超长期特别国债支持重大项目建设、减税降费持续减轻企业负担、降低存款准备金率释放流动性</w:t>
      </w:r>
      <w:r>
        <w:rPr>
          <w:rFonts w:ascii="MS UI Gothic" w:hAnsi="MS UI Gothic" w:cs="MS UI Gothic"/>
          <w:color w:val="000000"/>
          <w:spacing w:val="0"/>
          <w:sz w:val="21"/>
        </w:rPr>
        <w:t>⋯⋯</w:t>
      </w:r>
      <w:r>
        <w:rPr>
          <w:rFonts w:ascii="Times New Roman"/>
          <w:color w:val="000000"/>
          <w:spacing w:val="71"/>
          <w:sz w:val="21"/>
        </w:rPr>
        <w:t xml:space="preserve"> </w:t>
      </w:r>
      <w:r>
        <w:rPr>
          <w:rFonts w:ascii="SimSun" w:hAnsi="SimSun" w:cs="SimSun"/>
          <w:color w:val="000000"/>
          <w:spacing w:val="-6"/>
          <w:sz w:val="21"/>
        </w:rPr>
        <w:t>。下列</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选项中，对上述政策促进民营经济发展传导路径描述正确的是（</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对民营企业贷款进行贴息→降低融资成本→增强企业投资意愿→推动民营经济转型升级</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发行超长期特别国债→增加民营企业信贷额度→缓解融资难问题→提升民营企业竞争力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实施减税降费政策→增加民营企业利润空间→扩大企业生产规模→确保民营企业盈利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央行降低存款准备金率→释放长期流动性→民营企业融资渠道增加→银行贷款意愿增强</w:t>
      </w:r>
    </w:p>
    <w:p>
      <w:pPr>
        <w:spacing w:before="222" w:after="0" w:line="250" w:lineRule="exact"/>
        <w:ind w:left="0" w:right="0" w:firstLine="0"/>
        <w:jc w:val="left"/>
        <w:rPr>
          <w:rFonts w:ascii="Times New Roman"/>
          <w:color w:val="000000"/>
          <w:spacing w:val="0"/>
          <w:sz w:val="24"/>
        </w:rPr>
      </w:pPr>
      <w:r>
        <w:rPr>
          <w:rFonts w:ascii="SimSun" w:hAnsi="SimSun" w:cs="SimSun"/>
          <w:color w:val="000000"/>
          <w:spacing w:val="2"/>
          <w:sz w:val="24"/>
        </w:rPr>
        <w:t>二、非选择题：本题共</w:t>
      </w:r>
      <w:r>
        <w:rPr>
          <w:rFonts w:ascii="Times New Roman"/>
          <w:color w:val="000000"/>
          <w:spacing w:val="-1"/>
          <w:sz w:val="24"/>
        </w:rPr>
        <w:t xml:space="preserve"> </w:t>
      </w:r>
      <w:r>
        <w:rPr>
          <w:rFonts w:ascii="SimSun"/>
          <w:color w:val="000000"/>
          <w:spacing w:val="0"/>
          <w:sz w:val="24"/>
        </w:rPr>
        <w:t>5</w:t>
      </w:r>
      <w:r>
        <w:rPr>
          <w:rFonts w:ascii="Times New Roman"/>
          <w:color w:val="000000"/>
          <w:spacing w:val="7"/>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SimSun"/>
          <w:color w:val="000000"/>
          <w:spacing w:val="7"/>
          <w:sz w:val="24"/>
        </w:rPr>
        <w:t>52</w:t>
      </w:r>
      <w:r>
        <w:rPr>
          <w:rFonts w:ascii="Times New Roman"/>
          <w:color w:val="000000"/>
          <w:spacing w:val="0"/>
          <w:sz w:val="24"/>
        </w:rPr>
        <w:t xml:space="preserve"> </w:t>
      </w:r>
      <w:r>
        <w:rPr>
          <w:rFonts w:ascii="SimSun" w:hAnsi="SimSun" w:cs="SimSun"/>
          <w:color w:val="000000"/>
          <w:spacing w:val="0"/>
          <w:sz w:val="24"/>
        </w:rPr>
        <w:t>分。</w:t>
      </w:r>
    </w:p>
    <w:p>
      <w:pPr>
        <w:spacing w:before="222"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从嘉兴南湖的一叶红船到劈波斩浪的“中国号”巨轮，中国特色社会主义的成功实践，谱写了人类发</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展史上的壮丽篇章。</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马克思、恩格斯创立的科学社会主义，揭示了人类社会发展的一般规律，指明了资本主义必然走向社</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会主义、共产主义的历史趋势。中国共产党自诞生之日起，就把马克思主义鲜明地写在自己的旗帜上，始</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终坚持以科学社会主义理论为指导，立足中国国情，回答时代和实践提出的重大问题。新民主主义革命时</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期，走出了“农村包围城市、武装夺取政权”的正确道路；社会主义建设时期，不断探索符合中国特点的</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建设模式；改革开放以来，确立了中国特色社会主义道路，突破了传统社会主义模式的桎梏。</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中国特色社会主义的根本价值追求是为了人民、依靠人民、造福人民。从脱贫攻坚战中近</w:t>
      </w:r>
      <w:r>
        <w:rPr>
          <w:rFonts w:ascii="Times New Roman"/>
          <w:color w:val="000000"/>
          <w:spacing w:val="0"/>
          <w:sz w:val="21"/>
        </w:rPr>
        <w:t xml:space="preserve"> </w:t>
      </w:r>
      <w:r>
        <w:rPr>
          <w:rFonts w:ascii="KaiTi"/>
          <w:color w:val="000000"/>
          <w:spacing w:val="0"/>
          <w:sz w:val="21"/>
        </w:rPr>
        <w:t>1</w:t>
      </w:r>
      <w:r>
        <w:rPr>
          <w:rFonts w:ascii="Times New Roman"/>
          <w:color w:val="000000"/>
          <w:spacing w:val="0"/>
          <w:sz w:val="21"/>
        </w:rPr>
        <w:t xml:space="preserve"> </w:t>
      </w:r>
      <w:r>
        <w:rPr>
          <w:rFonts w:ascii="KaiTi" w:hAnsi="KaiTi" w:cs="KaiTi"/>
          <w:color w:val="000000"/>
          <w:spacing w:val="0"/>
          <w:sz w:val="21"/>
        </w:rPr>
        <w:t>亿农村贫</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困人口全部脱贫，历史性解决绝对贫困问题，到建成世界上规模最大的教育体系、社会保障体系、</w:t>
      </w:r>
      <w:r>
        <w:rPr>
          <w:rFonts w:ascii="SimSun" w:hAnsi="SimSun" w:cs="SimSun"/>
          <w:color w:val="000000"/>
          <w:spacing w:val="0"/>
          <w:sz w:val="21"/>
        </w:rPr>
        <w:t>医疗卫</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生体系</w:t>
      </w:r>
      <w:r>
        <w:rPr>
          <w:rFonts w:ascii="MS UI Gothic" w:hAnsi="MS UI Gothic" w:cs="MS UI Gothic"/>
          <w:color w:val="000000"/>
          <w:spacing w:val="0"/>
          <w:sz w:val="21"/>
        </w:rPr>
        <w:t>⋯⋯</w:t>
      </w:r>
      <w:r>
        <w:rPr>
          <w:rFonts w:ascii="Times New Roman"/>
          <w:color w:val="000000"/>
          <w:spacing w:val="71"/>
          <w:sz w:val="21"/>
        </w:rPr>
        <w:t xml:space="preserve"> </w:t>
      </w:r>
      <w:r>
        <w:rPr>
          <w:rFonts w:ascii="KaiTi" w:hAnsi="KaiTi" w:cs="KaiTi"/>
          <w:color w:val="000000"/>
          <w:spacing w:val="0"/>
          <w:sz w:val="21"/>
        </w:rPr>
        <w:t>中国特色社会主义每一步推进，都紧扣人民群众的急难愁盼。</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结合材料，运用《中国特色社会主义》知识，分析中国特色社会主义在中国何以能够成功。</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习近平总书记指出，实现中华民族伟大复兴的中国梦，需要一代又一代有志青年接续奋斗。</w:t>
      </w:r>
    </w:p>
    <w:p>
      <w:pPr>
        <w:spacing w:before="248" w:after="0" w:line="220" w:lineRule="exact"/>
        <w:ind w:left="420" w:right="0" w:firstLine="0"/>
        <w:jc w:val="left"/>
        <w:rPr>
          <w:rFonts w:ascii="Times New Roman"/>
          <w:color w:val="000000"/>
          <w:spacing w:val="0"/>
          <w:sz w:val="21"/>
        </w:rPr>
      </w:pPr>
      <w:r>
        <w:rPr>
          <w:rFonts w:ascii="KaiTi"/>
          <w:color w:val="000000"/>
          <w:spacing w:val="0"/>
          <w:sz w:val="21"/>
        </w:rPr>
        <w:t>29</w:t>
      </w:r>
      <w:r>
        <w:rPr>
          <w:rFonts w:ascii="Times New Roman"/>
          <w:color w:val="000000"/>
          <w:spacing w:val="0"/>
          <w:sz w:val="21"/>
        </w:rPr>
        <w:t xml:space="preserve"> </w:t>
      </w:r>
      <w:r>
        <w:rPr>
          <w:rFonts w:ascii="KaiTi" w:hAnsi="KaiTi" w:cs="KaiTi"/>
          <w:color w:val="000000"/>
          <w:spacing w:val="0"/>
          <w:sz w:val="21"/>
        </w:rPr>
        <w:t>岁的航天工程师周承钰，在文昌发射场承担火箭燃料加注这一高风险工作。她主动请缨坚守危险岗</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位，带领团队攻克技术难题，创新优化加注流程，以微米级精准操作助力嫦娥五号、天问一号等重大任务</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5" w:name="br6"/>
      <w:bookmarkEnd w:id="5"/>
      <w:r>
        <w:rPr>
          <w:noProof/>
        </w:rPr>
        <w:pict>
          <v:shape id="_x0000_s1045" type="#_x0000_t75" style="width:2.75pt;height:2.75pt;margin-top:72.55pt;margin-left:404.15pt;mso-position-horizontal-relative:page;mso-position-vertical-relative:page;position:absolute;z-index:-251652096">
            <v:imagedata r:id="rId4" o:title=""/>
          </v:shape>
        </w:pict>
      </w:r>
      <w:r>
        <w:rPr>
          <w:noProof/>
        </w:rPr>
        <w:pict>
          <v:shape id="_x0000_s1046" type="#_x0000_t75" style="width:5pt;height:5.75pt;margin-top:473.3pt;margin-left:212.1pt;mso-position-horizontal-relative:page;mso-position-vertical-relative:page;position:absolute;z-index:-251653120">
            <v:imagedata r:id="rId5" o:title=""/>
          </v:shape>
        </w:pict>
      </w:r>
      <w:r>
        <w:rPr>
          <w:noProof/>
        </w:rPr>
        <w:pict>
          <v:shape id="_x0000_s1047" type="#_x0000_t75" style="width:2.75pt;height:2.75pt;margin-top:769.7pt;margin-left:116.8pt;mso-position-horizontal-relative:page;mso-position-vertical-relative:page;position:absolute;z-index:-251654144">
            <v:imagedata r:id="rId12" o:title=""/>
          </v:shape>
        </w:pict>
      </w:r>
      <w:r>
        <w:rPr>
          <w:noProof/>
        </w:rPr>
        <w:pict>
          <v:shape id="_x0000_s1048" type="#_x0000_t75" style="width:414.65pt;height:33.5pt;margin-top:212.9pt;margin-left:53pt;mso-position-horizontal-relative:page;mso-position-vertical-relative:page;position:absolute;z-index:-251655168">
            <v:imagedata r:id="rId13" o:title=""/>
          </v:shape>
        </w:pict>
      </w:r>
      <w:r>
        <w:rPr>
          <w:rFonts w:ascii="KaiTi" w:hAnsi="KaiTi" w:cs="KaiTi"/>
          <w:color w:val="000000"/>
          <w:spacing w:val="-6"/>
          <w:sz w:val="21"/>
        </w:rPr>
        <w:t>成功。她说：“国家的航天梦，就是我们青年科技工作者的奋斗方向。”31</w:t>
      </w:r>
      <w:r>
        <w:rPr>
          <w:rFonts w:ascii="Times New Roman"/>
          <w:color w:val="000000"/>
          <w:spacing w:val="6"/>
          <w:sz w:val="21"/>
        </w:rPr>
        <w:t xml:space="preserve"> </w:t>
      </w:r>
      <w:r>
        <w:rPr>
          <w:rFonts w:ascii="KaiTi" w:hAnsi="KaiTi" w:cs="KaiTi"/>
          <w:color w:val="000000"/>
          <w:spacing w:val="0"/>
          <w:sz w:val="21"/>
        </w:rPr>
        <w:t>岁的农业科学家李娟，放弃城市</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优越条件扎根黄土高原，针对当地缺水、粮食产量低的困境，历经五年攻关研发旱作农业复合技术，使玉</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米亩产翻倍，带动两千多户农户增收，用技术守护国家粮食安全。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结合材料，运用《中国特色社会主义》知识，分析青年科学家的事迹对青年以青春之力实现中国梦的启示。</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材料一近代以来，我国农村土地制度的发展历程。</w:t>
      </w:r>
    </w:p>
    <w:p>
      <w:pPr>
        <w:spacing w:before="1185" w:after="0" w:line="220" w:lineRule="exact"/>
        <w:ind w:left="420" w:right="0" w:firstLine="0"/>
        <w:jc w:val="left"/>
        <w:rPr>
          <w:rFonts w:ascii="Times New Roman"/>
          <w:color w:val="000000"/>
          <w:spacing w:val="0"/>
          <w:sz w:val="21"/>
        </w:rPr>
      </w:pPr>
      <w:r>
        <w:rPr>
          <w:rFonts w:ascii="KaiTi" w:hAnsi="KaiTi" w:cs="KaiTi"/>
          <w:color w:val="000000"/>
          <w:spacing w:val="0"/>
          <w:sz w:val="21"/>
        </w:rPr>
        <w:t>材料二关店村地处随州市山区，曾是典型的“困难村”。2019</w:t>
      </w:r>
      <w:r>
        <w:rPr>
          <w:rFonts w:ascii="Times New Roman"/>
          <w:color w:val="000000"/>
          <w:spacing w:val="0"/>
          <w:sz w:val="21"/>
        </w:rPr>
        <w:t xml:space="preserve"> </w:t>
      </w:r>
      <w:r>
        <w:rPr>
          <w:rFonts w:ascii="KaiTi" w:hAnsi="KaiTi" w:cs="KaiTi"/>
          <w:color w:val="000000"/>
          <w:spacing w:val="0"/>
          <w:sz w:val="21"/>
        </w:rPr>
        <w:t>年，村党支部领导村民将香菇产业作为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壮大集体经济的突破口，闯出了一条乡村振兴之路。</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1"/>
          <w:sz w:val="21"/>
        </w:rPr>
        <w:t>村党支部领办集体控股的企业，投入集体资金</w:t>
      </w:r>
      <w:r>
        <w:rPr>
          <w:rFonts w:ascii="Times New Roman"/>
          <w:color w:val="000000"/>
          <w:spacing w:val="-5"/>
          <w:sz w:val="21"/>
        </w:rPr>
        <w:t xml:space="preserve"> </w:t>
      </w:r>
      <w:r>
        <w:rPr>
          <w:rFonts w:ascii="KaiTi"/>
          <w:color w:val="000000"/>
          <w:spacing w:val="0"/>
          <w:sz w:val="21"/>
        </w:rPr>
        <w:t>200</w:t>
      </w:r>
      <w:r>
        <w:rPr>
          <w:rFonts w:ascii="Times New Roman"/>
          <w:color w:val="000000"/>
          <w:spacing w:val="-6"/>
          <w:sz w:val="21"/>
        </w:rPr>
        <w:t xml:space="preserve"> </w:t>
      </w:r>
      <w:r>
        <w:rPr>
          <w:rFonts w:ascii="KaiTi" w:hAnsi="KaiTi" w:cs="KaiTi"/>
          <w:color w:val="000000"/>
          <w:spacing w:val="-1"/>
          <w:sz w:val="21"/>
        </w:rPr>
        <w:t>万元作为启动资金，整合乡村振兴衔接资金共计</w:t>
      </w:r>
      <w:r>
        <w:rPr>
          <w:rFonts w:ascii="Times New Roman"/>
          <w:color w:val="000000"/>
          <w:spacing w:val="-5"/>
          <w:sz w:val="21"/>
        </w:rPr>
        <w:t xml:space="preserve"> </w:t>
      </w:r>
      <w:r>
        <w:rPr>
          <w:rFonts w:ascii="KaiTi"/>
          <w:color w:val="000000"/>
          <w:spacing w:val="0"/>
          <w:sz w:val="21"/>
        </w:rPr>
        <w:t>300</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万元，形成“党组织+集体经济组织+基地+农户”的核心架构。流转村内闲置地经营权</w:t>
      </w:r>
      <w:r>
        <w:rPr>
          <w:rFonts w:ascii="Times New Roman"/>
          <w:color w:val="000000"/>
          <w:spacing w:val="-2"/>
          <w:sz w:val="21"/>
        </w:rPr>
        <w:t xml:space="preserve"> </w:t>
      </w:r>
      <w:r>
        <w:rPr>
          <w:rFonts w:ascii="KaiTi"/>
          <w:color w:val="000000"/>
          <w:spacing w:val="0"/>
          <w:sz w:val="21"/>
        </w:rPr>
        <w:t>126</w:t>
      </w:r>
      <w:r>
        <w:rPr>
          <w:rFonts w:ascii="Times New Roman"/>
          <w:color w:val="000000"/>
          <w:spacing w:val="-2"/>
          <w:sz w:val="21"/>
        </w:rPr>
        <w:t xml:space="preserve"> </w:t>
      </w:r>
      <w:r>
        <w:rPr>
          <w:rFonts w:ascii="KaiTi" w:hAnsi="KaiTi" w:cs="KaiTi"/>
          <w:color w:val="000000"/>
          <w:spacing w:val="0"/>
          <w:sz w:val="21"/>
        </w:rPr>
        <w:t>亩搭建标准化外</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棚，以低价租给菇农，实现规模化种植。组建“党员+技术骨干”志愿服务队，开设“菇学堂”，解决菌棒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配比、温度控制等技术难题。村集体控股企业引入先进农产品深加工装备，开发香菇脆、香菇肽等高附加</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值产品，延长了产业链。</w:t>
      </w:r>
    </w:p>
    <w:p>
      <w:pPr>
        <w:spacing w:before="248" w:after="0" w:line="220" w:lineRule="exact"/>
        <w:ind w:left="420" w:right="0" w:firstLine="0"/>
        <w:jc w:val="left"/>
        <w:rPr>
          <w:rFonts w:ascii="Times New Roman"/>
          <w:color w:val="000000"/>
          <w:spacing w:val="0"/>
          <w:sz w:val="21"/>
        </w:rPr>
      </w:pPr>
      <w:r>
        <w:rPr>
          <w:rFonts w:ascii="KaiTi"/>
          <w:color w:val="000000"/>
          <w:spacing w:val="0"/>
          <w:sz w:val="21"/>
        </w:rPr>
        <w:t>2024</w:t>
      </w:r>
      <w:r>
        <w:rPr>
          <w:rFonts w:ascii="Times New Roman"/>
          <w:color w:val="000000"/>
          <w:spacing w:val="0"/>
          <w:sz w:val="21"/>
        </w:rPr>
        <w:t xml:space="preserve"> </w:t>
      </w:r>
      <w:r>
        <w:rPr>
          <w:rFonts w:ascii="KaiTi" w:hAnsi="KaiTi" w:cs="KaiTi"/>
          <w:color w:val="000000"/>
          <w:spacing w:val="0"/>
          <w:sz w:val="21"/>
        </w:rPr>
        <w:t>年该村集体经济经营性收入达</w:t>
      </w:r>
      <w:r>
        <w:rPr>
          <w:rFonts w:ascii="Times New Roman"/>
          <w:color w:val="000000"/>
          <w:spacing w:val="0"/>
          <w:sz w:val="21"/>
        </w:rPr>
        <w:t xml:space="preserve"> </w:t>
      </w:r>
      <w:r>
        <w:rPr>
          <w:rFonts w:ascii="KaiTi"/>
          <w:color w:val="000000"/>
          <w:spacing w:val="0"/>
          <w:sz w:val="21"/>
        </w:rPr>
        <w:t>403.1</w:t>
      </w:r>
      <w:r>
        <w:rPr>
          <w:rFonts w:ascii="Times New Roman"/>
          <w:color w:val="000000"/>
          <w:spacing w:val="0"/>
          <w:sz w:val="21"/>
        </w:rPr>
        <w:t xml:space="preserve"> </w:t>
      </w:r>
      <w:r>
        <w:rPr>
          <w:rFonts w:ascii="KaiTi" w:hAnsi="KaiTi" w:cs="KaiTi"/>
          <w:color w:val="000000"/>
          <w:spacing w:val="0"/>
          <w:sz w:val="21"/>
        </w:rPr>
        <w:t>万元，较</w:t>
      </w:r>
      <w:r>
        <w:rPr>
          <w:rFonts w:ascii="Times New Roman"/>
          <w:color w:val="000000"/>
          <w:spacing w:val="0"/>
          <w:sz w:val="21"/>
        </w:rPr>
        <w:t xml:space="preserve"> </w:t>
      </w:r>
      <w:r>
        <w:rPr>
          <w:rFonts w:ascii="KaiTi"/>
          <w:color w:val="000000"/>
          <w:spacing w:val="0"/>
          <w:sz w:val="21"/>
        </w:rPr>
        <w:t>2019</w:t>
      </w:r>
      <w:r>
        <w:rPr>
          <w:rFonts w:ascii="Times New Roman"/>
          <w:color w:val="000000"/>
          <w:spacing w:val="0"/>
          <w:sz w:val="21"/>
        </w:rPr>
        <w:t xml:space="preserve"> </w:t>
      </w:r>
      <w:r>
        <w:rPr>
          <w:rFonts w:ascii="KaiTi" w:hAnsi="KaiTi" w:cs="KaiTi"/>
          <w:color w:val="000000"/>
          <w:spacing w:val="0"/>
          <w:sz w:val="21"/>
        </w:rPr>
        <w:t>年实现从负债到超百万的跨越。</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）结合材料一，运用《中国特色社会主义》知识，说明我国农村土地制度发展历程蕴含的人类社会发展</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基本规律。</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）结合材料二，运用“毫不动摇巩固和发展公有制经济”知识，说明该村发展壮大农村集体经济的路径。</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在中国从“制造大国”向“消费大国”转型进程中，民营经济展现出强大活力。数据显示，民营经济</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贡献了全国</w:t>
      </w:r>
      <w:r>
        <w:rPr>
          <w:rFonts w:ascii="Times New Roman"/>
          <w:color w:val="000000"/>
          <w:spacing w:val="0"/>
          <w:sz w:val="21"/>
        </w:rPr>
        <w:t xml:space="preserve"> </w:t>
      </w:r>
      <w:r>
        <w:rPr>
          <w:rFonts w:ascii="KaiTi" w:hAnsi="KaiTi" w:cs="KaiTi"/>
          <w:color w:val="000000"/>
          <w:spacing w:val="0"/>
          <w:sz w:val="21"/>
        </w:rPr>
        <w:t>50%以上税收、60%以上</w:t>
      </w:r>
      <w:r>
        <w:rPr>
          <w:rFonts w:ascii="Times New Roman"/>
          <w:color w:val="000000"/>
          <w:spacing w:val="0"/>
          <w:sz w:val="21"/>
        </w:rPr>
        <w:t xml:space="preserve"> </w:t>
      </w:r>
      <w:r>
        <w:rPr>
          <w:rFonts w:ascii="KaiTi" w:hAnsi="KaiTi" w:cs="KaiTi"/>
          <w:color w:val="000000"/>
          <w:spacing w:val="0"/>
          <w:sz w:val="21"/>
        </w:rPr>
        <w:t>GDP、70%以上技术创新成果和</w:t>
      </w:r>
      <w:r>
        <w:rPr>
          <w:rFonts w:ascii="Times New Roman"/>
          <w:color w:val="000000"/>
          <w:spacing w:val="0"/>
          <w:sz w:val="21"/>
        </w:rPr>
        <w:t xml:space="preserve"> </w:t>
      </w:r>
      <w:r>
        <w:rPr>
          <w:rFonts w:ascii="KaiTi" w:hAnsi="KaiTi" w:cs="KaiTi"/>
          <w:color w:val="000000"/>
          <w:spacing w:val="0"/>
          <w:sz w:val="21"/>
        </w:rPr>
        <w:t>80%以上城镇劳动就业。以浙企为代表，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宇树科技的机器狗、回车科技的助眠仪等创新产品不断涌现，彰显了民营企业在满足消费升级需求、推动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创新发展中的重要作用。</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然而，市场调节的局限性让企业面临严峻挑战。面对挑战，民营企业积极寻求破局：麒盛科技制定长</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远战略，从智能床制造商转型为“健康服务商”，通过监测用户睡眠中的心率、呼吸率等数据，转化为可</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干预、可追踪的健康服务；智瀚星途的机器狗搭载自研的</w:t>
      </w:r>
      <w:r>
        <w:rPr>
          <w:rFonts w:ascii="Times New Roman"/>
          <w:color w:val="000000"/>
          <w:spacing w:val="0"/>
          <w:sz w:val="21"/>
        </w:rPr>
        <w:t xml:space="preserve"> </w:t>
      </w:r>
      <w:r>
        <w:rPr>
          <w:rFonts w:ascii="KaiTi"/>
          <w:color w:val="000000"/>
          <w:spacing w:val="0"/>
          <w:sz w:val="21"/>
        </w:rPr>
        <w:t>TITAN</w:t>
      </w:r>
      <w:r>
        <w:rPr>
          <w:rFonts w:ascii="Times New Roman"/>
          <w:color w:val="000000"/>
          <w:spacing w:val="0"/>
          <w:sz w:val="21"/>
        </w:rPr>
        <w:t xml:space="preserve"> </w:t>
      </w:r>
      <w:r>
        <w:rPr>
          <w:rFonts w:ascii="KaiTi" w:hAnsi="KaiTi" w:cs="KaiTi"/>
          <w:color w:val="000000"/>
          <w:spacing w:val="0"/>
          <w:sz w:val="21"/>
        </w:rPr>
        <w:t>系列具身智能控制器，该核心技术不仅让</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机器狗具备强大的感知、决策和交互能力，更成为连接机器人厂商、云服务商等生态伙伴的技术入口；全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进科技与尚选科技凭借各自在智能健身设备、生物基控温材料领域的优势构建产业生态，通过场景互补与</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技术协同，分别打造“社区微型健身房”和控温系列产品，开辟新的市场空间。</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6" w:name="br7"/>
      <w:bookmarkEnd w:id="6"/>
      <w:r>
        <w:rPr>
          <w:noProof/>
        </w:rPr>
        <w:pict>
          <v:shape id="_x0000_s1049" type="#_x0000_t75" style="width:2.75pt;height:2.75pt;margin-top:72.55pt;margin-left:404.15pt;mso-position-horizontal-relative:page;mso-position-vertical-relative:page;position:absolute;z-index:-251656192">
            <v:imagedata r:id="rId4" o:title=""/>
          </v:shape>
        </w:pict>
      </w:r>
      <w:r>
        <w:rPr>
          <w:noProof/>
        </w:rPr>
        <w:pict>
          <v:shape id="_x0000_s1050" type="#_x0000_t75" style="width:5pt;height:5.75pt;margin-top:473.3pt;margin-left:212.1pt;mso-position-horizontal-relative:page;mso-position-vertical-relative:page;position:absolute;z-index:-251657216">
            <v:imagedata r:id="rId5" o:title=""/>
          </v:shape>
        </w:pict>
      </w:r>
      <w:r>
        <w:rPr>
          <w:noProof/>
        </w:rPr>
        <w:pict>
          <v:shape id="_x0000_s1051" type="#_x0000_t75" style="width:2.75pt;height:2.75pt;margin-top:769.7pt;margin-left:116.8pt;mso-position-horizontal-relative:page;mso-position-vertical-relative:page;position:absolute;z-index:-251658240">
            <v:imagedata r:id="rId9" o:title=""/>
          </v:shape>
        </w:pict>
      </w:r>
      <w:r>
        <w:rPr>
          <w:rFonts w:ascii="SimSun" w:hAnsi="SimSun" w:cs="SimSun"/>
          <w:color w:val="000000"/>
          <w:spacing w:val="0"/>
          <w:sz w:val="21"/>
        </w:rPr>
        <w:t>结合材料，运用“我国的生产资料所有制”知识，分析民营企业在我国经济发展中的重要作用，并说明民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营企业是如何通过提升自身经营能力来应对当前的挑战。</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铁路是国民经济大动脉、关键基础设施和重大民生工程，党的十八大以来，我国陆续推出多项改革举</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措推动铁路发展。</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根据中共中央的决策部署，撤销铁道部，组建国家铁路局和中国铁路总公司，实现铁路行业行政管理</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职能与企业经营职能的分离；推进铁路投融资体制改革，向社会资本放开城际、市域、资源开发性铁路的</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所有权、经营权，多渠道筹集建设资金；坚持铁路运价改革市场化取向，将铁路运输价格由政府定价改为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政府指导价，增加运价弹性，完善了铁路运价机制；对铁路承担的学生、伤残军人和紧急救援等公益性运</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输任务，建立合理的政府财政补贴机制；中国铁路总公司于</w:t>
      </w:r>
      <w:r>
        <w:rPr>
          <w:rFonts w:ascii="Times New Roman"/>
          <w:color w:val="000000"/>
          <w:spacing w:val="0"/>
          <w:sz w:val="21"/>
        </w:rPr>
        <w:t xml:space="preserve"> </w:t>
      </w:r>
      <w:r>
        <w:rPr>
          <w:rFonts w:ascii="KaiTi"/>
          <w:color w:val="000000"/>
          <w:spacing w:val="0"/>
          <w:sz w:val="21"/>
        </w:rPr>
        <w:t>2019</w:t>
      </w:r>
      <w:r>
        <w:rPr>
          <w:rFonts w:ascii="Times New Roman"/>
          <w:color w:val="000000"/>
          <w:spacing w:val="0"/>
          <w:sz w:val="21"/>
        </w:rPr>
        <w:t xml:space="preserve"> </w:t>
      </w:r>
      <w:r>
        <w:rPr>
          <w:rFonts w:ascii="KaiTi" w:hAnsi="KaiTi" w:cs="KaiTi"/>
          <w:color w:val="000000"/>
          <w:spacing w:val="0"/>
          <w:sz w:val="21"/>
        </w:rPr>
        <w:t>年改制成立中国国家铁路集团有限公司，</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截至</w:t>
      </w:r>
      <w:r>
        <w:rPr>
          <w:rFonts w:ascii="Times New Roman"/>
          <w:color w:val="000000"/>
          <w:spacing w:val="0"/>
          <w:sz w:val="21"/>
        </w:rPr>
        <w:t xml:space="preserve"> </w:t>
      </w:r>
      <w:r>
        <w:rPr>
          <w:rFonts w:ascii="KaiTi"/>
          <w:color w:val="000000"/>
          <w:spacing w:val="0"/>
          <w:sz w:val="21"/>
        </w:rPr>
        <w:t>2024</w:t>
      </w:r>
      <w:r>
        <w:rPr>
          <w:rFonts w:ascii="Times New Roman"/>
          <w:color w:val="000000"/>
          <w:spacing w:val="0"/>
          <w:sz w:val="21"/>
        </w:rPr>
        <w:t xml:space="preserve"> </w:t>
      </w:r>
      <w:r>
        <w:rPr>
          <w:rFonts w:ascii="KaiTi" w:hAnsi="KaiTi" w:cs="KaiTi"/>
          <w:color w:val="000000"/>
          <w:spacing w:val="0"/>
          <w:sz w:val="21"/>
        </w:rPr>
        <w:t>年，全国</w:t>
      </w:r>
      <w:r>
        <w:rPr>
          <w:rFonts w:ascii="Times New Roman"/>
          <w:color w:val="000000"/>
          <w:spacing w:val="0"/>
          <w:sz w:val="21"/>
        </w:rPr>
        <w:t xml:space="preserve"> </w:t>
      </w:r>
      <w:r>
        <w:rPr>
          <w:rFonts w:ascii="KaiTi"/>
          <w:color w:val="000000"/>
          <w:spacing w:val="0"/>
          <w:sz w:val="21"/>
        </w:rPr>
        <w:t>18</w:t>
      </w:r>
      <w:r>
        <w:rPr>
          <w:rFonts w:ascii="Times New Roman"/>
          <w:color w:val="000000"/>
          <w:spacing w:val="0"/>
          <w:sz w:val="21"/>
        </w:rPr>
        <w:t xml:space="preserve"> </w:t>
      </w:r>
      <w:r>
        <w:rPr>
          <w:rFonts w:ascii="KaiTi" w:hAnsi="KaiTi" w:cs="KaiTi"/>
          <w:color w:val="000000"/>
          <w:spacing w:val="0"/>
          <w:sz w:val="21"/>
        </w:rPr>
        <w:t>个铁路局全部完成公司制改革。</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这些改革措施推动了我国铁路事业取得历史性成就，为推动我国经济高质量发展做出了巨大贡献。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结合材料，运用“生产资料所有制与经济体制”知识，分析我国是如何推动铁路更好发展的？</w:t>
      </w:r>
    </w:p>
    <w:p>
      <w:pPr>
        <w:spacing w:before="808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sectPr>
      <w:pgSz w:w="11900" w:h="16840"/>
      <w:pgMar w:top="1452"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87A016B6-1A27-4A80-A186-0232DD925ADE}"/>
  </w:font>
  <w:font w:name="Arial">
    <w:panose1 w:val="020B0604020202020204"/>
    <w:charset w:val="CC"/>
    <w:family w:val="swiss"/>
    <w:pitch w:val="variable"/>
    <w:sig w:usb0="01010101" w:usb1="01010101" w:usb2="01010101" w:usb3="01010101" w:csb0="01010101" w:csb1="01010101"/>
    <w:embedRegular r:id="rId2" w:fontKey="{94CE3908-0B4A-4A1B-A807-52653EEAD2FF}"/>
  </w:font>
  <w:font w:name="Calibri">
    <w:panose1 w:val="020F0502020204030204"/>
    <w:charset w:val="CC"/>
    <w:family w:val="swiss"/>
    <w:pitch w:val="variable"/>
    <w:sig w:usb0="01010101" w:usb1="01010101" w:usb2="01010101" w:usb3="01010101" w:csb0="01010105" w:csb1="01010101"/>
    <w:embedRegular r:id="rId3" w:fontKey="{CDB8E359-540C-4700-A864-DC1258BB6E97}"/>
  </w:font>
  <w:font w:name="SimSun">
    <w:panose1 w:val="00000000000000000000"/>
    <w:charset w:val="01"/>
    <w:family w:val="auto"/>
    <w:notTrueType/>
    <w:pitch w:val="default"/>
    <w:sig w:usb0="01010101" w:usb1="01010101" w:usb2="01010101" w:usb3="01010101" w:csb0="01010101" w:csb1="01010101"/>
    <w:embedRegular r:id="rId4" w:subsetted="1" w:fontKey="{1140A69F-3C33-4CBC-BECD-1998B8B84992}"/>
  </w:font>
  <w:font w:name="MS UI Gothic">
    <w:panose1 w:val="00000000000000000000"/>
    <w:charset w:val="01"/>
    <w:family w:val="auto"/>
    <w:notTrueType/>
    <w:pitch w:val="default"/>
    <w:sig w:usb0="01010101" w:usb1="01010101" w:usb2="01010101" w:usb3="01010101" w:csb0="01010101" w:csb1="01010101"/>
    <w:embedRegular r:id="rId5" w:subsetted="1" w:fontKey="{C6FB91E8-1963-4762-B97E-C54ACEA922FE}"/>
  </w:font>
  <w:font w:name="KaiTi">
    <w:panose1 w:val="00000000000000000000"/>
    <w:charset w:val="01"/>
    <w:family w:val="auto"/>
    <w:notTrueType/>
    <w:pitch w:val="default"/>
    <w:sig w:usb0="01010101" w:usb1="01010101" w:usb2="01010101" w:usb3="01010101" w:csb0="01010101" w:csb1="01010101"/>
    <w:embedRegular r:id="rId6" w:subsetted="1" w:fontKey="{E5D4A449-D291-4973-BD3D-8E20B16591E5}"/>
  </w:font>
  <w:font w:name="Cambria">
    <w:charset w:val="00"/>
    <w:family w:val="auto"/>
    <w:pitch w:val="default"/>
    <w:embedRegular r:id="rId7" w:fontKey="{D81EA2D5-0D9A-4757-AF57-F1B3638D609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theme" Target="theme/theme1.xml"/><Relationship Id="rId15" Type="http://schemas.openxmlformats.org/officeDocument/2006/relationships/styles" Target="styles.xml"/><Relationship Id="rId2" Type="http://schemas.openxmlformats.org/officeDocument/2006/relationships/webSettings" Target="webSettings.xml"/><Relationship Id="rId3" Type="http://schemas.openxmlformats.org/officeDocument/2006/relationships/fontTable" Target="fontTable.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