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7.0 -->
  <w:body>
    <w:p>
      <w:pPr>
        <w:spacing w:before="0" w:after="0" w:line="325" w:lineRule="exact"/>
        <w:ind w:left="4234" w:right="0" w:firstLine="0"/>
        <w:jc w:val="left"/>
        <w:rPr>
          <w:rFonts w:ascii="Times New Roman"/>
          <w:color w:val="000000"/>
          <w:spacing w:val="0"/>
          <w:sz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width:2.75pt;height:2.75pt;margin-top:72.55pt;margin-left:404.15pt;mso-position-horizontal-relative:page;mso-position-vertical-relative:page;position:absolute;z-index:-251631616">
            <v:imagedata r:id="rId4" o:title=""/>
          </v:shape>
        </w:pict>
      </w:r>
      <w:bookmarkStart w:id="0" w:name="br1"/>
      <w:bookmarkEnd w:id="0"/>
      <w:r>
        <w:rPr>
          <w:noProof/>
        </w:rPr>
        <w:pict>
          <v:shape id="_x0000_s1026" type="#_x0000_t75" style="width:5pt;height:5.75pt;margin-top:473.3pt;margin-left:212.1pt;mso-position-horizontal-relative:page;mso-position-vertical-relative:page;position:absolute;z-index:-251632640">
            <v:imagedata r:id="rId5" o:title=""/>
          </v:shape>
        </w:pict>
      </w:r>
      <w:r>
        <w:rPr>
          <w:noProof/>
        </w:rPr>
        <w:pict>
          <v:shape id="_x0000_s1027" type="#_x0000_t75" style="width:2.75pt;height:2.75pt;margin-top:769.7pt;margin-left:116.8pt;mso-position-horizontal-relative:page;mso-position-vertical-relative:page;position:absolute;z-index:-251633664">
            <v:imagedata r:id="rId4" o:title=""/>
          </v:shape>
        </w:pict>
      </w:r>
      <w:r>
        <w:rPr>
          <w:noProof/>
        </w:rPr>
        <w:pict>
          <v:shape id="_x0000_s1028" type="#_x0000_t75" style="width:4.25pt;height:8.75pt;margin-top:700.65pt;margin-left:60.55pt;mso-position-horizontal-relative:page;mso-position-vertical-relative:page;position:absolute;z-index:-251634688">
            <v:imagedata r:id="rId6" o:title=""/>
          </v:shape>
        </w:pict>
      </w:r>
      <w:r>
        <w:rPr>
          <w:rFonts w:ascii="SimSun" w:hAnsi="SimSun" w:cs="SimSun"/>
          <w:color w:val="000000"/>
          <w:spacing w:val="0"/>
          <w:sz w:val="32"/>
        </w:rPr>
        <w:t>高二历史</w:t>
      </w:r>
    </w:p>
    <w:p>
      <w:pPr>
        <w:spacing w:before="258" w:after="0" w:line="250" w:lineRule="exact"/>
        <w:ind w:left="0" w:right="0" w:firstLine="0"/>
        <w:jc w:val="left"/>
        <w:rPr>
          <w:rFonts w:ascii="Times New Roman"/>
          <w:color w:val="000000"/>
          <w:spacing w:val="0"/>
          <w:sz w:val="24"/>
        </w:rPr>
      </w:pPr>
      <w:r>
        <w:rPr>
          <w:rFonts w:ascii="SimSun" w:hAnsi="SimSun" w:cs="SimSun"/>
          <w:color w:val="000000"/>
          <w:spacing w:val="0"/>
          <w:sz w:val="24"/>
        </w:rPr>
        <w:t>考生注意：</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SimSun" w:hAnsi="SimSun" w:cs="SimSun"/>
          <w:color w:val="000000"/>
          <w:spacing w:val="-1"/>
          <w:sz w:val="24"/>
        </w:rPr>
        <w:t>答题前，考生务必将自己的姓名、考生号填写在试卷和答题卡上，并将考生号条形码粘贴在</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0"/>
          <w:sz w:val="24"/>
        </w:rPr>
        <w:t>答题卡上的指定位置。</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SimSun" w:hAnsi="SimSun" w:cs="SimSun"/>
          <w:color w:val="000000"/>
          <w:spacing w:val="1"/>
          <w:sz w:val="24"/>
        </w:rPr>
        <w:t>回答选择题时，选出每小题答案后，用铅笔把答题卡对应题目的答案标号涂黑。如需改动，</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4"/>
          <w:sz w:val="24"/>
        </w:rPr>
        <w:t>用橡皮擦干净后，再选涂其他答案标号。回答非选择题时，将答案写在答题卡上。写在本试</w:t>
      </w:r>
    </w:p>
    <w:p>
      <w:pPr>
        <w:spacing w:before="218" w:after="0" w:line="250" w:lineRule="exact"/>
        <w:ind w:left="0" w:right="0" w:firstLine="0"/>
        <w:jc w:val="left"/>
        <w:rPr>
          <w:rFonts w:ascii="Times New Roman"/>
          <w:color w:val="000000"/>
          <w:spacing w:val="0"/>
          <w:sz w:val="24"/>
        </w:rPr>
      </w:pPr>
      <w:r>
        <w:rPr>
          <w:rFonts w:ascii="SimSun" w:hAnsi="SimSun" w:cs="SimSun"/>
          <w:color w:val="000000"/>
          <w:spacing w:val="0"/>
          <w:sz w:val="24"/>
        </w:rPr>
        <w:t>卷上无效。</w:t>
      </w:r>
    </w:p>
    <w:p>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SimSun" w:hAnsi="SimSun" w:cs="SimSun"/>
          <w:color w:val="000000"/>
          <w:spacing w:val="1"/>
          <w:sz w:val="24"/>
        </w:rPr>
        <w:t>考试结束后，将本试卷和答题卡一并交回。</w:t>
      </w:r>
    </w:p>
    <w:p>
      <w:pPr>
        <w:spacing w:before="192" w:after="0" w:line="276" w:lineRule="exact"/>
        <w:ind w:left="0" w:right="0" w:firstLine="0"/>
        <w:jc w:val="left"/>
        <w:rPr>
          <w:rFonts w:ascii="Times New Roman"/>
          <w:color w:val="000000"/>
          <w:spacing w:val="0"/>
          <w:sz w:val="24"/>
        </w:rPr>
      </w:pPr>
      <w:r>
        <w:rPr>
          <w:rFonts w:ascii="SimSun" w:hAnsi="SimSun" w:cs="SimSun"/>
          <w:color w:val="000000"/>
          <w:spacing w:val="5"/>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SimSun" w:hAnsi="SimSun" w:cs="SimSun"/>
          <w:color w:val="000000"/>
          <w:spacing w:val="5"/>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6"/>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SimSun" w:hAnsi="SimSun" w:cs="SimSun"/>
          <w:color w:val="000000"/>
          <w:spacing w:val="4"/>
          <w:sz w:val="24"/>
        </w:rPr>
        <w:t>分。在每小题给出的四个选项中，只有一</w:t>
      </w:r>
    </w:p>
    <w:p>
      <w:pPr>
        <w:spacing w:before="200" w:after="0" w:line="250" w:lineRule="exact"/>
        <w:ind w:left="0" w:right="0" w:firstLine="0"/>
        <w:jc w:val="left"/>
        <w:rPr>
          <w:rFonts w:ascii="Times New Roman"/>
          <w:color w:val="000000"/>
          <w:spacing w:val="0"/>
          <w:sz w:val="24"/>
        </w:rPr>
      </w:pPr>
      <w:r>
        <w:rPr>
          <w:rFonts w:ascii="SimSun" w:hAnsi="SimSun" w:cs="SimSun"/>
          <w:color w:val="000000"/>
          <w:spacing w:val="0"/>
          <w:sz w:val="24"/>
        </w:rPr>
        <w:t>项是符合题目要求的。</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SimSun" w:hAnsi="SimSun" w:cs="SimSun"/>
          <w:color w:val="000000"/>
          <w:spacing w:val="-11"/>
          <w:sz w:val="21"/>
        </w:rPr>
        <w:t>子贡问政，子曰：“足食，足兵，民信之矣。”子贡曰：“必不得已而去，于斯三者何先？”曰：“去兵。”</w:t>
      </w:r>
    </w:p>
    <w:p>
      <w:pPr>
        <w:spacing w:before="232" w:after="0" w:line="220" w:lineRule="exact"/>
        <w:ind w:left="0" w:right="0" w:firstLine="0"/>
        <w:jc w:val="left"/>
        <w:rPr>
          <w:rFonts w:ascii="Times New Roman"/>
          <w:color w:val="000000"/>
          <w:spacing w:val="0"/>
          <w:sz w:val="21"/>
        </w:rPr>
      </w:pPr>
      <w:r>
        <w:rPr>
          <w:rFonts w:ascii="SimSun" w:hAnsi="SimSun" w:cs="SimSun"/>
          <w:color w:val="000000"/>
          <w:spacing w:val="-7"/>
          <w:sz w:val="21"/>
        </w:rPr>
        <w:t>子贡曰：“必不得已而去，于斯二者何先？”曰：“去食。自古皆有死，民无信不立。”子贡问政的主要目的</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是（</w:t>
      </w:r>
      <w:r>
        <w:rPr>
          <w:rFonts w:ascii="Times New Roman"/>
          <w:color w:val="000000"/>
          <w:spacing w:val="263"/>
          <w:sz w:val="21"/>
        </w:rPr>
        <w:t xml:space="preserve"> </w:t>
      </w:r>
      <w:r>
        <w:rPr>
          <w:rFonts w:ascii="SimSun" w:hAnsi="SimSun" w:cs="SimSun"/>
          <w:color w:val="000000"/>
          <w:spacing w:val="0"/>
          <w:sz w:val="21"/>
        </w:rPr>
        <w:t>）</w:t>
      </w:r>
    </w:p>
    <w:p>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质疑孔子治国理念的现实可行性</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探索治国理政的根本之道</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助推孔子完善儒家治国思想体系</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对比治国理政方案的优劣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SimSun" w:hAnsi="SimSun" w:cs="SimSun"/>
          <w:color w:val="000000"/>
          <w:spacing w:val="-4"/>
          <w:sz w:val="21"/>
        </w:rPr>
        <w:t>甘肃居延遗址出土汉简记载：“驿置，骑行百里，留迟者论；掌传递文书，通章奏。”甘肃悬泉置遗址出</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土汉简中有“出东板檄四：皆太守章，一诣督邮，一诣广至，一诣冥安，一诣渊泉。建平五年□□辛未日</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下夕时，悬泉厩御放付鱼离卒意”。这反映出汉代（</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西北边疆商贸通信网络成熟</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驿骑为传递行政文书所专用</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官方邮驿具备规范运行机制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中央加强对地方的垂直管理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SimSun" w:hAnsi="SimSun" w:cs="SimSun"/>
          <w:color w:val="000000"/>
          <w:spacing w:val="0"/>
          <w:sz w:val="21"/>
        </w:rPr>
        <w:t>北魏前期，统治者在地方推行“宗主督护制”，承认东汉以来形成的汉族地主豪强对依附农民控制的传</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统；孝文帝改革时，以“三长制”取代“宗主督护制”，加强对基层民众的直接管理。这反映出北魏（</w:t>
      </w:r>
      <w:r>
        <w:rPr>
          <w:rFonts w:ascii="Times New Roman"/>
          <w:color w:val="000000"/>
          <w:spacing w:val="263"/>
          <w:sz w:val="21"/>
        </w:rPr>
        <w:t xml:space="preserve"> </w:t>
      </w:r>
      <w:r>
        <w:rPr>
          <w:rFonts w:ascii="SimSun" w:hAnsi="SimSun" w:cs="SimSun"/>
          <w:color w:val="000000"/>
          <w:spacing w:val="0"/>
          <w:sz w:val="21"/>
        </w:rPr>
        <w:t>）</w:t>
      </w:r>
    </w:p>
    <w:p>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SimSun" w:hAnsi="SimSun" w:cs="SimSun"/>
          <w:color w:val="000000"/>
          <w:spacing w:val="0"/>
          <w:sz w:val="21"/>
        </w:rPr>
        <w:t>中央与地方权力博弈发生逆转</w:t>
      </w:r>
    </w:p>
    <w:p>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土地所有制形式发生根本变革</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对汉制的借鉴从形式走向实质</w:t>
      </w:r>
    </w:p>
    <w:p>
      <w:pPr>
        <w:spacing w:before="264"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1</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74"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43" w:lineRule="exact"/>
        <w:ind w:left="0" w:right="0" w:firstLine="0"/>
        <w:jc w:val="left"/>
        <w:rPr>
          <w:rFonts w:ascii="Times New Roman"/>
          <w:color w:val="000000"/>
          <w:spacing w:val="0"/>
          <w:sz w:val="21"/>
        </w:rPr>
      </w:pPr>
      <w:bookmarkStart w:id="1" w:name="br2"/>
      <w:bookmarkEnd w:id="1"/>
      <w:r>
        <w:rPr>
          <w:noProof/>
        </w:rPr>
        <w:pict>
          <v:shape id="_x0000_s1029" type="#_x0000_t75" style="width:2.75pt;height:2.75pt;margin-top:72.55pt;margin-left:404.15pt;mso-position-horizontal-relative:page;mso-position-vertical-relative:page;position:absolute;z-index:-251635712">
            <v:imagedata r:id="rId4" o:title=""/>
          </v:shape>
        </w:pict>
      </w:r>
      <w:r>
        <w:rPr>
          <w:noProof/>
        </w:rPr>
        <w:pict>
          <v:shape id="_x0000_s1030" type="#_x0000_t75" style="width:5pt;height:5.75pt;margin-top:473.3pt;margin-left:212.1pt;mso-position-horizontal-relative:page;mso-position-vertical-relative:page;position:absolute;z-index:-251636736">
            <v:imagedata r:id="rId5" o:title=""/>
          </v:shape>
        </w:pict>
      </w:r>
      <w:r>
        <w:rPr>
          <w:noProof/>
        </w:rPr>
        <w:pict>
          <v:shape id="_x0000_s1031" type="#_x0000_t75" style="width:2.75pt;height:2.75pt;margin-top:769.7pt;margin-left:116.8pt;mso-position-horizontal-relative:page;mso-position-vertical-relative:page;position:absolute;z-index:-251637760">
            <v:imagedata r:id="rId7" o:title=""/>
          </v:shape>
        </w:pict>
      </w:r>
      <w:r>
        <w:rPr>
          <w:noProof/>
        </w:rPr>
        <w:pict>
          <v:shape id="_x0000_s1032" type="#_x0000_t75" style="width:12.5pt;height:16.25pt;margin-top:93.55pt;margin-left:150.55pt;mso-position-horizontal-relative:page;mso-position-vertical-relative:page;position:absolute;z-index:-251638784">
            <v:imagedata r:id="rId8" o:title=""/>
          </v:shape>
        </w:pict>
      </w:r>
      <w:r>
        <w:rPr>
          <w:noProof/>
        </w:rPr>
        <w:pict>
          <v:shape id="_x0000_s1033" type="#_x0000_t75" style="width:4.25pt;height:8.75pt;margin-top:178.35pt;margin-left:59.8pt;mso-position-horizontal-relative:page;mso-position-vertical-relative:page;position:absolute;z-index:-251639808">
            <v:imagedata r:id="rId9" o:title=""/>
          </v:shape>
        </w:pict>
      </w:r>
      <w:r>
        <w:rPr>
          <w:noProof/>
        </w:rPr>
        <w:pict>
          <v:shape id="_x0000_s1034" type="#_x0000_t75" style="width:4.25pt;height:8.75pt;margin-top:513.8pt;margin-left:60.55pt;mso-position-horizontal-relative:page;mso-position-vertical-relative:page;position:absolute;z-index:-251640832">
            <v:imagedata r:id="rId6" o:title=""/>
          </v:shape>
        </w:pic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从依赖汉族豪强转向平民阶层</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SimSun" w:hAnsi="SimSun" w:cs="SimSun"/>
          <w:color w:val="000000"/>
          <w:spacing w:val="0"/>
          <w:sz w:val="21"/>
        </w:rPr>
        <w:t>唐代把日常生活中</w:t>
      </w:r>
      <w:r>
        <w:rPr>
          <w:rFonts w:ascii="Times New Roman"/>
          <w:color w:val="000000"/>
          <w:spacing w:val="158"/>
          <w:sz w:val="21"/>
        </w:rPr>
        <w:t xml:space="preserve"> </w:t>
      </w:r>
      <w:r>
        <w:rPr>
          <w:rFonts w:ascii="SimSun" w:hAnsi="SimSun" w:cs="SimSun"/>
          <w:color w:val="000000"/>
          <w:spacing w:val="-5"/>
          <w:sz w:val="21"/>
        </w:rPr>
        <w:t>不敬、不道、恶逆、诬妄父母、反逆等行为纳入律典；通过“议”“请”“减”“赎”</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等制度规定，皇亲国戚、皇帝故旧、高级官僚贵族等人犯罪时“轻重不在刑书”。这反映了唐代法律（</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量刑严苛，维护社会秩序</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礼法结合，凸显等级差异</w:t>
      </w:r>
    </w:p>
    <w:p>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SimSun" w:hAnsi="SimSun" w:cs="SimSun"/>
          <w:color w:val="000000"/>
          <w:spacing w:val="0"/>
          <w:sz w:val="21"/>
        </w:rPr>
        <w:t>条文完备，覆盖生活全貌</w:t>
      </w:r>
      <w:r>
        <w:rPr>
          <w:rFonts w:ascii="Times New Roman"/>
          <w:color w:val="000000"/>
          <w:spacing w:val="2216"/>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法不阿贵，追求公平公正</w:t>
      </w:r>
    </w:p>
    <w:p>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SimSun" w:hAnsi="SimSun" w:cs="SimSun"/>
          <w:color w:val="000000"/>
          <w:spacing w:val="-8"/>
          <w:sz w:val="21"/>
        </w:rPr>
        <w:t>朱熹提出：“人性本明，如宝珠沉溷水中，明不可见。去了溷水，则宝珠依旧自明。”王阳明认为：“良知</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良能，愚夫愚妇与圣人同。但惟圣人能致其良知，而愚夫愚妇不能致，此圣愚之所由分也。”据此可知，二</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者思想差异主要体现在对（</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圣愚差异根源的认知</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人性本质是善是恶的判断</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伦理规范来源的理解</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道德修养是否必要的态度</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SimSun" w:hAnsi="SimSun" w:cs="SimSun"/>
          <w:color w:val="000000"/>
          <w:spacing w:val="-4"/>
          <w:sz w:val="21"/>
        </w:rPr>
        <w:t>据《明会典》记载：“府州县官缺，悉由吏部于进士、举人、监生中拣选授任，地方三司不得干预。”据</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《大清会典事例》记载：“各省繁难、边远州县缺，若吏部铨选之人不谙地方情形，许该督抚于所属现任官</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3"/>
          <w:sz w:val="21"/>
        </w:rPr>
        <w:t>员内拣选贤能，出具考语保题补授，吏部复核后准予实授；其简僻州县缺，仍由吏部照例铨选。”这说明与</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明代相比，清代（</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中央下放部分官吏选拔权</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中央集权受到地方挑战</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选官兼顾效率与地方实际</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选官标准转向实务优先</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SimSun" w:hAnsi="SimSun" w:cs="SimSun"/>
          <w:color w:val="000000"/>
          <w:spacing w:val="0"/>
          <w:sz w:val="21"/>
        </w:rPr>
        <w:t>清朝后期，国内先后出现了洋务运动的“中体西用”、戊戌变法的“君主立宪”、新政的“预备立宪”。</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这实质上反映了（</w:t>
      </w:r>
      <w:r>
        <w:rPr>
          <w:rFonts w:ascii="Times New Roman"/>
          <w:color w:val="000000"/>
          <w:spacing w:val="263"/>
          <w:sz w:val="21"/>
        </w:rPr>
        <w:t xml:space="preserve"> </w:t>
      </w:r>
      <w:r>
        <w:rPr>
          <w:rFonts w:ascii="SimSun" w:hAnsi="SimSun" w:cs="SimSun"/>
          <w:color w:val="000000"/>
          <w:spacing w:val="0"/>
          <w:sz w:val="21"/>
        </w:rPr>
        <w:t>）</w:t>
      </w:r>
    </w:p>
    <w:p>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SimSun" w:hAnsi="SimSun" w:cs="SimSun"/>
          <w:color w:val="000000"/>
          <w:spacing w:val="0"/>
          <w:sz w:val="21"/>
        </w:rPr>
        <w:t>统治者调整政策以适应时代</w:t>
      </w:r>
    </w:p>
    <w:p>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统治者对西方认识的深入</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中国社会不断向近代化迈进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清朝统治的危机不断加深</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0"/>
          <w:sz w:val="21"/>
        </w:rPr>
        <w:t xml:space="preserve"> </w:t>
      </w:r>
      <w:r>
        <w:rPr>
          <w:rFonts w:ascii="SimSun"/>
          <w:color w:val="000000"/>
          <w:spacing w:val="0"/>
          <w:sz w:val="21"/>
        </w:rPr>
        <w:t>1913</w:t>
      </w:r>
      <w:r>
        <w:rPr>
          <w:rFonts w:ascii="Times New Roman"/>
          <w:color w:val="000000"/>
          <w:spacing w:val="-8"/>
          <w:sz w:val="21"/>
        </w:rPr>
        <w:t xml:space="preserve"> </w:t>
      </w:r>
      <w:r>
        <w:rPr>
          <w:rFonts w:ascii="SimSun" w:hAnsi="SimSun" w:cs="SimSun"/>
          <w:color w:val="000000"/>
          <w:spacing w:val="-1"/>
          <w:sz w:val="21"/>
        </w:rPr>
        <w:t>年，北洋政府规定选任县知事可以保荐免试，但保荐免试者须为富有政事学识及行政经验的人员(一</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般为现任县知事)，同时，需经内务部查明履历，会同国务总理及大总统核准，据此，可获保免资格候选或</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继续担任县知事。上述规定意在（</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完善责任内阁制度</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加强中央政府权威</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重建文官管理制度</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削弱考试院的权力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0"/>
          <w:sz w:val="21"/>
        </w:rPr>
        <w:t xml:space="preserve"> </w:t>
      </w:r>
      <w:r>
        <w:rPr>
          <w:rFonts w:ascii="SimSun"/>
          <w:color w:val="000000"/>
          <w:spacing w:val="0"/>
          <w:sz w:val="21"/>
        </w:rPr>
        <w:t>1936</w:t>
      </w:r>
      <w:r>
        <w:rPr>
          <w:rFonts w:ascii="Times New Roman"/>
          <w:color w:val="000000"/>
          <w:spacing w:val="-1"/>
          <w:sz w:val="21"/>
        </w:rPr>
        <w:t xml:space="preserve"> </w:t>
      </w:r>
      <w:r>
        <w:rPr>
          <w:rFonts w:ascii="SimSun" w:hAnsi="SimSun" w:cs="SimSun"/>
          <w:color w:val="000000"/>
          <w:spacing w:val="0"/>
          <w:sz w:val="21"/>
        </w:rPr>
        <w:t>年</w:t>
      </w:r>
      <w:r>
        <w:rPr>
          <w:rFonts w:ascii="Times New Roman"/>
          <w:color w:val="000000"/>
          <w:spacing w:val="-1"/>
          <w:sz w:val="21"/>
        </w:rPr>
        <w:t xml:space="preserve"> </w:t>
      </w:r>
      <w:r>
        <w:rPr>
          <w:rFonts w:ascii="SimSun"/>
          <w:color w:val="000000"/>
          <w:spacing w:val="0"/>
          <w:sz w:val="21"/>
        </w:rPr>
        <w:t>6</w:t>
      </w:r>
      <w:r>
        <w:rPr>
          <w:rFonts w:ascii="Times New Roman"/>
          <w:color w:val="000000"/>
          <w:spacing w:val="-1"/>
          <w:sz w:val="21"/>
        </w:rPr>
        <w:t xml:space="preserve"> </w:t>
      </w:r>
      <w:r>
        <w:rPr>
          <w:rFonts w:ascii="SimSun" w:hAnsi="SimSun" w:cs="SimSun"/>
          <w:color w:val="000000"/>
          <w:spacing w:val="0"/>
          <w:sz w:val="21"/>
        </w:rPr>
        <w:t>月，中国人民抗日红军大学在瓦窑堡创办，1937</w:t>
      </w:r>
      <w:r>
        <w:rPr>
          <w:rFonts w:ascii="Times New Roman"/>
          <w:color w:val="000000"/>
          <w:spacing w:val="-1"/>
          <w:sz w:val="21"/>
        </w:rPr>
        <w:t xml:space="preserve"> </w:t>
      </w:r>
      <w:r>
        <w:rPr>
          <w:rFonts w:ascii="SimSun" w:hAnsi="SimSun" w:cs="SimSun"/>
          <w:color w:val="000000"/>
          <w:spacing w:val="0"/>
          <w:sz w:val="21"/>
        </w:rPr>
        <w:t>年</w:t>
      </w:r>
      <w:r>
        <w:rPr>
          <w:rFonts w:ascii="Times New Roman"/>
          <w:color w:val="000000"/>
          <w:spacing w:val="-1"/>
          <w:sz w:val="21"/>
        </w:rPr>
        <w:t xml:space="preserve"> </w:t>
      </w:r>
      <w:r>
        <w:rPr>
          <w:rFonts w:ascii="SimSun"/>
          <w:color w:val="000000"/>
          <w:spacing w:val="0"/>
          <w:sz w:val="21"/>
        </w:rPr>
        <w:t>1</w:t>
      </w:r>
      <w:r>
        <w:rPr>
          <w:rFonts w:ascii="Times New Roman"/>
          <w:color w:val="000000"/>
          <w:spacing w:val="-1"/>
          <w:sz w:val="21"/>
        </w:rPr>
        <w:t xml:space="preserve"> </w:t>
      </w:r>
      <w:r>
        <w:rPr>
          <w:rFonts w:ascii="SimSun" w:hAnsi="SimSun" w:cs="SimSun"/>
          <w:color w:val="000000"/>
          <w:spacing w:val="0"/>
          <w:sz w:val="21"/>
        </w:rPr>
        <w:t>月迁至延安后更名为中国人民抗日军事政</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治大学。该校校名的调整反映了（</w:t>
      </w:r>
      <w:r>
        <w:rPr>
          <w:rFonts w:ascii="Times New Roman"/>
          <w:color w:val="000000"/>
          <w:spacing w:val="263"/>
          <w:sz w:val="21"/>
        </w:rPr>
        <w:t xml:space="preserve"> </w:t>
      </w:r>
      <w:r>
        <w:rPr>
          <w:rFonts w:ascii="SimSun" w:hAnsi="SimSun" w:cs="SimSun"/>
          <w:color w:val="000000"/>
          <w:spacing w:val="0"/>
          <w:sz w:val="21"/>
        </w:rPr>
        <w:t>）</w:t>
      </w:r>
    </w:p>
    <w:p>
      <w:pPr>
        <w:spacing w:before="27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2</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2" w:name="br3"/>
      <w:bookmarkEnd w:id="2"/>
      <w:r>
        <w:rPr>
          <w:noProof/>
        </w:rPr>
        <w:pict>
          <v:shape id="_x0000_s1035" type="#_x0000_t75" style="width:2.75pt;height:2.75pt;margin-top:72.55pt;margin-left:404.15pt;mso-position-horizontal-relative:page;mso-position-vertical-relative:page;position:absolute;z-index:-251641856">
            <v:imagedata r:id="rId4" o:title=""/>
          </v:shape>
        </w:pict>
      </w:r>
      <w:r>
        <w:rPr>
          <w:noProof/>
        </w:rPr>
        <w:pict>
          <v:shape id="_x0000_s1036" type="#_x0000_t75" style="width:5pt;height:5.75pt;margin-top:473.3pt;margin-left:212.1pt;mso-position-horizontal-relative:page;mso-position-vertical-relative:page;position:absolute;z-index:-251642880">
            <v:imagedata r:id="rId5" o:title=""/>
          </v:shape>
        </w:pict>
      </w:r>
      <w:r>
        <w:rPr>
          <w:noProof/>
        </w:rPr>
        <w:pict>
          <v:shape id="_x0000_s1037" type="#_x0000_t75" style="width:2.75pt;height:2.75pt;margin-top:769.7pt;margin-left:116.8pt;mso-position-horizontal-relative:page;mso-position-vertical-relative:page;position:absolute;z-index:-251643904">
            <v:imagedata r:id="rId10" o:title=""/>
          </v:shape>
        </w:pict>
      </w:r>
      <w:r>
        <w:rPr>
          <w:noProof/>
        </w:rPr>
        <w:pict>
          <v:shape id="_x0000_s1038" type="#_x0000_t75" style="width:371.15pt;height:161.1pt;margin-top:205.35pt;margin-left:47pt;mso-position-horizontal-relative:page;mso-position-vertical-relative:page;position:absolute;z-index:-251644928">
            <v:imagedata r:id="rId11" o:title=""/>
          </v:shape>
        </w:pict>
      </w: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工农红军完成了战略转移任务</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全国团结抗战的局面初步形成</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中共全面落实洛川会议的方针</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中日矛盾上升为中国主要矛盾</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SimSun" w:hAnsi="SimSun" w:cs="SimSun"/>
          <w:color w:val="000000"/>
          <w:spacing w:val="0"/>
          <w:sz w:val="21"/>
        </w:rPr>
        <w:t>下表为</w:t>
      </w:r>
      <w:r>
        <w:rPr>
          <w:rFonts w:ascii="Times New Roman"/>
          <w:color w:val="000000"/>
          <w:spacing w:val="0"/>
          <w:sz w:val="21"/>
        </w:rPr>
        <w:t xml:space="preserve"> </w:t>
      </w:r>
      <w:r>
        <w:rPr>
          <w:rFonts w:ascii="SimSun" w:hAnsi="SimSun" w:cs="SimSun"/>
          <w:color w:val="000000"/>
          <w:spacing w:val="0"/>
          <w:sz w:val="21"/>
        </w:rPr>
        <w:t>1957—1960</w:t>
      </w:r>
      <w:r>
        <w:rPr>
          <w:rFonts w:ascii="Times New Roman"/>
          <w:color w:val="000000"/>
          <w:spacing w:val="0"/>
          <w:sz w:val="21"/>
        </w:rPr>
        <w:t xml:space="preserve"> </w:t>
      </w:r>
      <w:r>
        <w:rPr>
          <w:rFonts w:ascii="SimSun" w:hAnsi="SimSun" w:cs="SimSun"/>
          <w:color w:val="000000"/>
          <w:spacing w:val="0"/>
          <w:sz w:val="21"/>
        </w:rPr>
        <w:t>年上海市工业品调市外（全国）和农副土特产品市外调入情况表。据此可推知，上</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海（</w:t>
      </w:r>
      <w:r>
        <w:rPr>
          <w:rFonts w:ascii="Times New Roman"/>
          <w:color w:val="000000"/>
          <w:spacing w:val="263"/>
          <w:sz w:val="21"/>
        </w:rPr>
        <w:t xml:space="preserve"> </w:t>
      </w:r>
      <w:r>
        <w:rPr>
          <w:rFonts w:ascii="SimSun" w:hAnsi="SimSun" w:cs="SimSun"/>
          <w:color w:val="000000"/>
          <w:spacing w:val="0"/>
          <w:sz w:val="21"/>
        </w:rPr>
        <w:t>）</w:t>
      </w:r>
    </w:p>
    <w:p>
      <w:pPr>
        <w:spacing w:before="338" w:after="0" w:line="220" w:lineRule="exact"/>
        <w:ind w:left="0" w:right="0" w:firstLine="0"/>
        <w:jc w:val="left"/>
        <w:rPr>
          <w:rFonts w:ascii="Times New Roman"/>
          <w:color w:val="000000"/>
          <w:spacing w:val="0"/>
          <w:sz w:val="21"/>
        </w:rPr>
      </w:pPr>
      <w:r>
        <w:rPr>
          <w:rFonts w:ascii="SimSun" w:hAnsi="SimSun" w:cs="SimSun"/>
          <w:color w:val="000000"/>
          <w:spacing w:val="0"/>
          <w:sz w:val="21"/>
        </w:rPr>
        <w:t>时间</w:t>
      </w:r>
      <w:r>
        <w:rPr>
          <w:rFonts w:ascii="Times New Roman"/>
          <w:color w:val="000000"/>
          <w:spacing w:val="415"/>
          <w:sz w:val="21"/>
        </w:rPr>
        <w:t xml:space="preserve"> </w:t>
      </w:r>
      <w:r>
        <w:rPr>
          <w:rFonts w:ascii="SimSun" w:hAnsi="SimSun" w:cs="SimSun"/>
          <w:color w:val="000000"/>
          <w:spacing w:val="0"/>
          <w:sz w:val="21"/>
        </w:rPr>
        <w:t>工业品调市外总值（万元）</w:t>
      </w:r>
      <w:r>
        <w:rPr>
          <w:rFonts w:ascii="Times New Roman"/>
          <w:color w:val="000000"/>
          <w:spacing w:val="298"/>
          <w:sz w:val="21"/>
        </w:rPr>
        <w:t xml:space="preserve"> </w:t>
      </w:r>
      <w:r>
        <w:rPr>
          <w:rFonts w:ascii="SimSun" w:hAnsi="SimSun" w:cs="SimSun"/>
          <w:color w:val="000000"/>
          <w:spacing w:val="0"/>
          <w:sz w:val="21"/>
        </w:rPr>
        <w:t>农副土特产品市外调入总值（万元）</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1957</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441689</w:t>
      </w:r>
      <w:r>
        <w:rPr>
          <w:rFonts w:ascii="Times New Roman"/>
          <w:color w:val="000000"/>
          <w:spacing w:val="2189"/>
          <w:sz w:val="21"/>
        </w:rPr>
        <w:t xml:space="preserve"> </w:t>
      </w:r>
      <w:r>
        <w:rPr>
          <w:rFonts w:ascii="SimSun"/>
          <w:color w:val="000000"/>
          <w:spacing w:val="0"/>
          <w:sz w:val="21"/>
        </w:rPr>
        <w:t>165632</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1958</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575578</w:t>
      </w:r>
      <w:r>
        <w:rPr>
          <w:rFonts w:ascii="Times New Roman"/>
          <w:color w:val="000000"/>
          <w:spacing w:val="2189"/>
          <w:sz w:val="21"/>
        </w:rPr>
        <w:t xml:space="preserve"> </w:t>
      </w:r>
      <w:r>
        <w:rPr>
          <w:rFonts w:ascii="SimSun"/>
          <w:color w:val="000000"/>
          <w:spacing w:val="0"/>
          <w:sz w:val="21"/>
        </w:rPr>
        <w:t>164702</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1959</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628529</w:t>
      </w:r>
      <w:r>
        <w:rPr>
          <w:rFonts w:ascii="Times New Roman"/>
          <w:color w:val="000000"/>
          <w:spacing w:val="2189"/>
          <w:sz w:val="21"/>
        </w:rPr>
        <w:t xml:space="preserve"> </w:t>
      </w:r>
      <w:r>
        <w:rPr>
          <w:rFonts w:ascii="SimSun"/>
          <w:color w:val="000000"/>
          <w:spacing w:val="0"/>
          <w:sz w:val="21"/>
        </w:rPr>
        <w:t>161255</w:t>
      </w:r>
    </w:p>
    <w:p>
      <w:pPr>
        <w:spacing w:before="413" w:after="0" w:line="220" w:lineRule="exact"/>
        <w:ind w:left="0" w:right="0" w:firstLine="0"/>
        <w:jc w:val="left"/>
        <w:rPr>
          <w:rFonts w:ascii="Times New Roman"/>
          <w:color w:val="000000"/>
          <w:spacing w:val="0"/>
          <w:sz w:val="21"/>
        </w:rPr>
      </w:pPr>
      <w:r>
        <w:rPr>
          <w:rFonts w:ascii="SimSun"/>
          <w:color w:val="000000"/>
          <w:spacing w:val="0"/>
          <w:sz w:val="21"/>
        </w:rPr>
        <w:t>1960</w:t>
      </w:r>
      <w:r>
        <w:rPr>
          <w:rFonts w:ascii="Times New Roman"/>
          <w:color w:val="000000"/>
          <w:spacing w:val="-24"/>
          <w:sz w:val="21"/>
        </w:rPr>
        <w:t xml:space="preserve"> </w:t>
      </w:r>
      <w:r>
        <w:rPr>
          <w:rFonts w:ascii="SimSun" w:hAnsi="SimSun" w:cs="SimSun"/>
          <w:color w:val="000000"/>
          <w:spacing w:val="0"/>
          <w:sz w:val="21"/>
        </w:rPr>
        <w:t>年</w:t>
      </w:r>
      <w:r>
        <w:rPr>
          <w:rFonts w:ascii="Times New Roman"/>
          <w:color w:val="000000"/>
          <w:spacing w:val="176"/>
          <w:sz w:val="21"/>
        </w:rPr>
        <w:t xml:space="preserve"> </w:t>
      </w:r>
      <w:r>
        <w:rPr>
          <w:rFonts w:ascii="SimSun"/>
          <w:color w:val="000000"/>
          <w:spacing w:val="0"/>
          <w:sz w:val="21"/>
        </w:rPr>
        <w:t>622784</w:t>
      </w:r>
      <w:r>
        <w:rPr>
          <w:rFonts w:ascii="Times New Roman"/>
          <w:color w:val="000000"/>
          <w:spacing w:val="2189"/>
          <w:sz w:val="21"/>
        </w:rPr>
        <w:t xml:space="preserve"> </w:t>
      </w:r>
      <w:r>
        <w:rPr>
          <w:rFonts w:ascii="SimSun"/>
          <w:color w:val="000000"/>
          <w:spacing w:val="0"/>
          <w:sz w:val="21"/>
        </w:rPr>
        <w:t>101844</w:t>
      </w:r>
    </w:p>
    <w:p>
      <w:pPr>
        <w:spacing w:before="795"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工业发展有力支持了全国建设</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工农业的产业结构不尽合理</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与市外实现工农产品自由流通</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农副土特产品产量逐渐上升</w:t>
      </w:r>
    </w:p>
    <w:p>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SimSun" w:hAnsi="SimSun" w:cs="SimSun"/>
          <w:color w:val="000000"/>
          <w:spacing w:val="-2"/>
          <w:sz w:val="21"/>
        </w:rPr>
        <w:t>苏格拉底的弟子色诺芬在《回忆苏格拉底》中写道：“苏格拉底常说，城邦如同大船，公民应共同掌舵，</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3"/>
          <w:sz w:val="21"/>
        </w:rPr>
        <w:t>但若舵手只懂迎合乘客而不懂航海术，船必沉没。”这一表述反映出苏格拉底对雅典民主（</w:t>
      </w:r>
      <w:r>
        <w:rPr>
          <w:rFonts w:ascii="Times New Roman"/>
          <w:color w:val="000000"/>
          <w:spacing w:val="265"/>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完全否定，主张精英统治</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部分批判，强调理性执政</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完全支持，倡导公民参与</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部分肯定，维护直接民主</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SimSun" w:hAnsi="SimSun" w:cs="SimSun"/>
          <w:color w:val="000000"/>
          <w:spacing w:val="-1"/>
          <w:sz w:val="21"/>
        </w:rPr>
        <w:t>英国《大宪章》有关贵族未成年继承人的权益方面规定，受监护的继承人只需在成年后缴纳继承封地金；</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国王和其他监护人只能按照习惯征收受监护者封地上的赋税与力役，不得使其土地财产遭受浪费与损毁，</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否则将处以罚金或自动丧失监护权，改由“合法与端正之人士”监护。上述条款（</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稳定了封建等级结构</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维护了教会的经济特权</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完善了君主立宪制度</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减轻了庄园劳动者负担</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0"/>
          <w:sz w:val="21"/>
        </w:rPr>
        <w:t xml:space="preserve"> </w:t>
      </w:r>
      <w:r>
        <w:rPr>
          <w:rFonts w:ascii="SimSun"/>
          <w:color w:val="000000"/>
          <w:spacing w:val="0"/>
          <w:sz w:val="21"/>
        </w:rPr>
        <w:t>1635</w:t>
      </w:r>
      <w:r>
        <w:rPr>
          <w:rFonts w:ascii="Times New Roman"/>
          <w:color w:val="000000"/>
          <w:spacing w:val="-8"/>
          <w:sz w:val="21"/>
        </w:rPr>
        <w:t xml:space="preserve"> </w:t>
      </w:r>
      <w:r>
        <w:rPr>
          <w:rFonts w:ascii="SimSun" w:hAnsi="SimSun" w:cs="SimSun"/>
          <w:color w:val="000000"/>
          <w:spacing w:val="-1"/>
          <w:sz w:val="21"/>
        </w:rPr>
        <w:t>年，法国国王路易十三的首席大臣黎塞留为解决国内方言林立阻碍政令传递、拉丁语垄断文化领域</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的问题，推动原本私下研究法语的知识分子成立官方机构——法兰西学术院，他亲自担任学院保护人，提</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供财政资助，并赋予学院“制定法语语法规范、编纂官方权威词典”的专属权力。黎塞留的做法（</w:t>
      </w:r>
      <w:r>
        <w:rPr>
          <w:rFonts w:ascii="Times New Roman"/>
          <w:color w:val="000000"/>
          <w:spacing w:val="263"/>
          <w:sz w:val="21"/>
        </w:rPr>
        <w:t xml:space="preserve"> </w:t>
      </w:r>
      <w:r>
        <w:rPr>
          <w:rFonts w:ascii="SimSun" w:hAnsi="SimSun" w:cs="SimSun"/>
          <w:color w:val="000000"/>
          <w:spacing w:val="0"/>
          <w:sz w:val="21"/>
        </w:rPr>
        <w:t>）</w:t>
      </w:r>
    </w:p>
    <w:p>
      <w:pPr>
        <w:spacing w:before="21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3</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43" w:lineRule="exact"/>
        <w:ind w:left="0" w:right="0" w:firstLine="0"/>
        <w:jc w:val="left"/>
        <w:rPr>
          <w:rFonts w:ascii="Times New Roman"/>
          <w:color w:val="000000"/>
          <w:spacing w:val="0"/>
          <w:sz w:val="21"/>
        </w:rPr>
      </w:pPr>
      <w:bookmarkStart w:id="3" w:name="br4"/>
      <w:bookmarkEnd w:id="3"/>
      <w:r>
        <w:rPr>
          <w:noProof/>
        </w:rPr>
        <w:pict>
          <v:shape id="_x0000_s1039" type="#_x0000_t75" style="width:2.75pt;height:2.75pt;margin-top:72.55pt;margin-left:404.15pt;mso-position-horizontal-relative:page;mso-position-vertical-relative:page;position:absolute;z-index:-251645952">
            <v:imagedata r:id="rId4" o:title=""/>
          </v:shape>
        </w:pict>
      </w:r>
      <w:r>
        <w:rPr>
          <w:noProof/>
        </w:rPr>
        <w:pict>
          <v:shape id="_x0000_s1040" type="#_x0000_t75" style="width:5pt;height:5.75pt;margin-top:473.3pt;margin-left:212.1pt;mso-position-horizontal-relative:page;mso-position-vertical-relative:page;position:absolute;z-index:-251646976">
            <v:imagedata r:id="rId5" o:title=""/>
          </v:shape>
        </w:pict>
      </w:r>
      <w:r>
        <w:rPr>
          <w:noProof/>
        </w:rPr>
        <w:pict>
          <v:shape id="_x0000_s1041" type="#_x0000_t75" style="width:2.75pt;height:2.75pt;margin-top:769.7pt;margin-left:116.8pt;mso-position-horizontal-relative:page;mso-position-vertical-relative:page;position:absolute;z-index:-251648000">
            <v:imagedata r:id="rId7" o:title=""/>
          </v:shape>
        </w:pict>
      </w:r>
      <w:r>
        <w:rPr>
          <w:noProof/>
        </w:rPr>
        <w:pict>
          <v:shape id="_x0000_s1042" type="#_x0000_t75" style="width:12.5pt;height:16.25pt;margin-top:93.55pt;margin-left:141.55pt;mso-position-horizontal-relative:page;mso-position-vertical-relative:page;position:absolute;z-index:-251649024">
            <v:imagedata r:id="rId12" o:title=""/>
          </v:shape>
        </w:pict>
      </w:r>
      <w:r>
        <w:rPr>
          <w:noProof/>
        </w:rPr>
        <w:pict>
          <v:shape id="_x0000_s1043" type="#_x0000_t75" style="width:400.4pt;height:34.25pt;margin-top:650.4pt;margin-left:47pt;mso-position-horizontal-relative:page;mso-position-vertical-relative:page;position:absolute;z-index:-251650048">
            <v:imagedata r:id="rId13" o:title=""/>
          </v:shape>
        </w:pict>
      </w: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巩固了法国君主立宪体制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拓展了启蒙运动</w:t>
      </w:r>
      <w:r>
        <w:rPr>
          <w:rFonts w:ascii="Times New Roman"/>
          <w:color w:val="000000"/>
          <w:spacing w:val="158"/>
          <w:sz w:val="21"/>
        </w:rPr>
        <w:t xml:space="preserve"> </w:t>
      </w:r>
      <w:r>
        <w:rPr>
          <w:rFonts w:ascii="SimSun" w:hAnsi="SimSun" w:cs="SimSun"/>
          <w:color w:val="000000"/>
          <w:spacing w:val="0"/>
          <w:sz w:val="21"/>
        </w:rPr>
        <w:t>传播路径</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打击了罗马天主教会势力</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促进了民族国家认同的发展</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0"/>
          <w:sz w:val="21"/>
        </w:rPr>
        <w:t xml:space="preserve"> </w:t>
      </w:r>
      <w:r>
        <w:rPr>
          <w:rFonts w:ascii="SimSun" w:hAnsi="SimSun" w:cs="SimSun"/>
          <w:color w:val="000000"/>
          <w:spacing w:val="0"/>
          <w:sz w:val="21"/>
        </w:rPr>
        <w:t>“哥伦布大交换”重新划分了世界各国的产业和贸易结构，推动欧洲各国生产力及财富水平实现飞跃，</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为欧洲工业革命和资本主义兴起奠定基础；美洲蔗糖的引入使英国产业工人再生产成本大幅降低，推动了</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英国城市无产阶级形成。材料意在说明“哥伦布大交换”（</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直接引发了英国工业革命的爆发</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为欧洲资本主义发展创造了条件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导致欧洲封建制度迅速走向瓦解</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使英国成为世界上首个工业国家</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0"/>
          <w:sz w:val="21"/>
        </w:rPr>
        <w:t xml:space="preserve"> </w:t>
      </w:r>
      <w:r>
        <w:rPr>
          <w:rFonts w:ascii="SimSun"/>
          <w:color w:val="000000"/>
          <w:spacing w:val="0"/>
          <w:sz w:val="21"/>
        </w:rPr>
        <w:t>19</w:t>
      </w:r>
      <w:r>
        <w:rPr>
          <w:rFonts w:ascii="Times New Roman"/>
          <w:color w:val="000000"/>
          <w:spacing w:val="0"/>
          <w:sz w:val="21"/>
        </w:rPr>
        <w:t xml:space="preserve"> </w:t>
      </w:r>
      <w:r>
        <w:rPr>
          <w:rFonts w:ascii="SimSun" w:hAnsi="SimSun" w:cs="SimSun"/>
          <w:color w:val="000000"/>
          <w:spacing w:val="0"/>
          <w:sz w:val="21"/>
        </w:rPr>
        <w:t>世纪末</w:t>
      </w:r>
      <w:r>
        <w:rPr>
          <w:rFonts w:ascii="Times New Roman"/>
          <w:color w:val="000000"/>
          <w:spacing w:val="0"/>
          <w:sz w:val="21"/>
        </w:rPr>
        <w:t xml:space="preserve"> </w:t>
      </w:r>
      <w:r>
        <w:rPr>
          <w:rFonts w:ascii="SimSun"/>
          <w:color w:val="000000"/>
          <w:spacing w:val="0"/>
          <w:sz w:val="21"/>
        </w:rPr>
        <w:t>20</w:t>
      </w:r>
      <w:r>
        <w:rPr>
          <w:rFonts w:ascii="Times New Roman"/>
          <w:color w:val="000000"/>
          <w:spacing w:val="0"/>
          <w:sz w:val="21"/>
        </w:rPr>
        <w:t xml:space="preserve"> </w:t>
      </w:r>
      <w:r>
        <w:rPr>
          <w:rFonts w:ascii="SimSun" w:hAnsi="SimSun" w:cs="SimSun"/>
          <w:color w:val="000000"/>
          <w:spacing w:val="0"/>
          <w:sz w:val="21"/>
        </w:rPr>
        <w:t>世纪初，亚洲人民的斗争进入了以民族民主意识为思想基础的新阶段，它“不仅以推翻帝</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国主义异族统治为政治目标，而且以本民族社会的改造为指向”。此新阶段（</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制定了完整明确革命纲领</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受到了俄国十月革命影响</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揭开了无产阶级革命序幕</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基于资本主义经济的发展</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0"/>
          <w:sz w:val="21"/>
        </w:rPr>
        <w:t xml:space="preserve"> </w:t>
      </w:r>
      <w:r>
        <w:rPr>
          <w:rFonts w:ascii="SimSun"/>
          <w:color w:val="000000"/>
          <w:spacing w:val="0"/>
          <w:sz w:val="21"/>
        </w:rPr>
        <w:t>20</w:t>
      </w:r>
      <w:r>
        <w:rPr>
          <w:rFonts w:ascii="Times New Roman"/>
          <w:color w:val="000000"/>
          <w:spacing w:val="0"/>
          <w:sz w:val="21"/>
        </w:rPr>
        <w:t xml:space="preserve"> </w:t>
      </w:r>
      <w:r>
        <w:rPr>
          <w:rFonts w:ascii="SimSun" w:hAnsi="SimSun" w:cs="SimSun"/>
          <w:color w:val="000000"/>
          <w:spacing w:val="0"/>
          <w:sz w:val="21"/>
        </w:rPr>
        <w:t>世纪</w:t>
      </w:r>
      <w:r>
        <w:rPr>
          <w:rFonts w:ascii="Times New Roman"/>
          <w:color w:val="000000"/>
          <w:spacing w:val="0"/>
          <w:sz w:val="21"/>
        </w:rPr>
        <w:t xml:space="preserve"> </w:t>
      </w:r>
      <w:r>
        <w:rPr>
          <w:rFonts w:ascii="SimSun"/>
          <w:color w:val="000000"/>
          <w:spacing w:val="0"/>
          <w:sz w:val="21"/>
        </w:rPr>
        <w:t>60</w:t>
      </w:r>
      <w:r>
        <w:rPr>
          <w:rFonts w:ascii="Times New Roman"/>
          <w:color w:val="000000"/>
          <w:spacing w:val="0"/>
          <w:sz w:val="21"/>
        </w:rPr>
        <w:t xml:space="preserve"> </w:t>
      </w:r>
      <w:r>
        <w:rPr>
          <w:rFonts w:ascii="SimSun" w:hAnsi="SimSun" w:cs="SimSun"/>
          <w:color w:val="000000"/>
          <w:spacing w:val="0"/>
          <w:sz w:val="21"/>
        </w:rPr>
        <w:t>年代初，法国经济持续高速增长，戴高乐政府试图联合西德推动国际货币体系改革，但美国</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以削减驻欧美军相要挟，要求法国停止用美元兑换黄金。西德因担心美军撤离影响国家安全，最终选择配</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合美国政策。戴高乐被迫接受美国的金融安排。这一系列事件（</w:t>
      </w:r>
      <w:r>
        <w:rPr>
          <w:rFonts w:ascii="Times New Roman"/>
          <w:color w:val="000000"/>
          <w:spacing w:val="263"/>
          <w:sz w:val="21"/>
        </w:rPr>
        <w:t xml:space="preserve"> </w:t>
      </w:r>
      <w:r>
        <w:rPr>
          <w:rFonts w:ascii="SimSun" w:hAnsi="SimSun" w:cs="SimSun"/>
          <w:color w:val="000000"/>
          <w:spacing w:val="0"/>
          <w:sz w:val="21"/>
        </w:rPr>
        <w:t>）</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SimSun" w:hAnsi="SimSun" w:cs="SimSun"/>
          <w:color w:val="000000"/>
          <w:spacing w:val="0"/>
          <w:sz w:val="21"/>
        </w:rPr>
        <w:t>标志着布雷顿森林体系的解体</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SimSun" w:hAnsi="SimSun" w:cs="SimSun"/>
          <w:color w:val="000000"/>
          <w:spacing w:val="0"/>
          <w:sz w:val="21"/>
        </w:rPr>
        <w:t>体现出军事同盟制约经济主权</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SimSun" w:hAnsi="SimSun" w:cs="SimSun"/>
          <w:color w:val="000000"/>
          <w:spacing w:val="0"/>
          <w:sz w:val="21"/>
        </w:rPr>
        <w:t>推动了欧洲经济共同体的成立</w:t>
      </w:r>
    </w:p>
    <w:p>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SimSun" w:hAnsi="SimSun" w:cs="SimSun"/>
          <w:color w:val="000000"/>
          <w:spacing w:val="0"/>
          <w:sz w:val="21"/>
        </w:rPr>
        <w:t>导致法国退出北约军事一体化</w:t>
      </w:r>
    </w:p>
    <w:p>
      <w:pPr>
        <w:spacing w:before="209" w:after="0" w:line="276" w:lineRule="exact"/>
        <w:ind w:left="0" w:right="0" w:firstLine="0"/>
        <w:jc w:val="left"/>
        <w:rPr>
          <w:rFonts w:ascii="Times New Roman"/>
          <w:color w:val="000000"/>
          <w:spacing w:val="0"/>
          <w:sz w:val="24"/>
        </w:rPr>
      </w:pPr>
      <w:r>
        <w:rPr>
          <w:rFonts w:ascii="SimSun" w:hAnsi="SimSun" w:cs="SimSun"/>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SimSun" w:hAnsi="SimSun" w:cs="SimSun"/>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SimSun" w:hAnsi="SimSun" w:cs="SimSun"/>
          <w:color w:val="000000"/>
          <w:spacing w:val="0"/>
          <w:sz w:val="24"/>
        </w:rPr>
        <w:t>分。</w:t>
      </w:r>
    </w:p>
    <w:p>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237" w:after="0" w:line="220" w:lineRule="exact"/>
        <w:ind w:left="420" w:right="0" w:firstLine="0"/>
        <w:jc w:val="left"/>
        <w:rPr>
          <w:rFonts w:ascii="Times New Roman"/>
          <w:color w:val="000000"/>
          <w:spacing w:val="0"/>
          <w:sz w:val="21"/>
        </w:rPr>
      </w:pPr>
      <w:r>
        <w:rPr>
          <w:rFonts w:ascii="KaiTi" w:hAnsi="KaiTi" w:cs="KaiTi"/>
          <w:color w:val="000000"/>
          <w:spacing w:val="0"/>
          <w:sz w:val="21"/>
        </w:rPr>
        <w:t>材料</w:t>
      </w:r>
    </w:p>
    <w:p>
      <w:pPr>
        <w:spacing w:before="338" w:after="0" w:line="220" w:lineRule="exact"/>
        <w:ind w:left="0" w:right="0" w:firstLine="0"/>
        <w:jc w:val="left"/>
        <w:rPr>
          <w:rFonts w:ascii="Times New Roman"/>
          <w:color w:val="000000"/>
          <w:spacing w:val="0"/>
          <w:sz w:val="21"/>
        </w:rPr>
      </w:pPr>
      <w:r>
        <w:rPr>
          <w:rFonts w:ascii="KaiTi" w:hAnsi="KaiTi" w:cs="KaiTi"/>
          <w:color w:val="000000"/>
          <w:spacing w:val="0"/>
          <w:sz w:val="21"/>
        </w:rPr>
        <w:t>法律</w:t>
      </w:r>
      <w:r>
        <w:rPr>
          <w:rFonts w:ascii="Times New Roman"/>
          <w:color w:val="000000"/>
          <w:spacing w:val="608"/>
          <w:sz w:val="21"/>
        </w:rPr>
        <w:t xml:space="preserve"> </w:t>
      </w:r>
      <w:r>
        <w:rPr>
          <w:rFonts w:ascii="KaiTi" w:hAnsi="KaiTi" w:cs="KaiTi"/>
          <w:color w:val="000000"/>
          <w:spacing w:val="0"/>
          <w:sz w:val="21"/>
        </w:rPr>
        <w:t>女子择偶自主权</w:t>
      </w:r>
      <w:r>
        <w:rPr>
          <w:rFonts w:ascii="Times New Roman"/>
          <w:color w:val="000000"/>
          <w:spacing w:val="353"/>
          <w:sz w:val="21"/>
        </w:rPr>
        <w:t xml:space="preserve"> </w:t>
      </w:r>
      <w:r>
        <w:rPr>
          <w:rFonts w:ascii="KaiTi" w:hAnsi="KaiTi" w:cs="KaiTi"/>
          <w:color w:val="000000"/>
          <w:spacing w:val="0"/>
          <w:sz w:val="21"/>
        </w:rPr>
        <w:t>婚姻纠纷处理</w:t>
      </w:r>
      <w:r>
        <w:rPr>
          <w:rFonts w:ascii="Times New Roman"/>
          <w:color w:val="000000"/>
          <w:spacing w:val="1193"/>
          <w:sz w:val="21"/>
        </w:rPr>
        <w:t xml:space="preserve"> </w:t>
      </w:r>
      <w:r>
        <w:rPr>
          <w:rFonts w:ascii="KaiTi" w:hAnsi="KaiTi" w:cs="KaiTi"/>
          <w:color w:val="000000"/>
          <w:spacing w:val="0"/>
          <w:sz w:val="21"/>
        </w:rPr>
        <w:t>特殊婚姻相关规定</w:t>
      </w:r>
    </w:p>
    <w:p>
      <w:pPr>
        <w:spacing w:before="1903"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4</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440"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2956" w:right="0" w:firstLine="0"/>
        <w:jc w:val="left"/>
        <w:rPr>
          <w:rFonts w:ascii="Times New Roman"/>
          <w:color w:val="000000"/>
          <w:spacing w:val="0"/>
          <w:sz w:val="21"/>
        </w:rPr>
      </w:pPr>
      <w:bookmarkStart w:id="4" w:name="br5"/>
      <w:bookmarkEnd w:id="4"/>
      <w:r>
        <w:rPr>
          <w:noProof/>
        </w:rPr>
        <w:pict>
          <v:shape id="_x0000_s1044" type="#_x0000_t75" style="width:2.75pt;height:2.75pt;margin-top:769.7pt;margin-left:116.8pt;mso-position-horizontal-relative:page;mso-position-vertical-relative:page;position:absolute;z-index:-251651072">
            <v:imagedata r:id="rId14" o:title=""/>
          </v:shape>
        </w:pict>
      </w:r>
      <w:r>
        <w:rPr>
          <w:noProof/>
        </w:rPr>
        <w:pict>
          <v:shape id="_x0000_s1045" type="#_x0000_t75" style="width:400.4pt;height:510.8pt;margin-top:65.05pt;margin-left:47pt;mso-position-horizontal-relative:page;mso-position-vertical-relative:page;position:absolute;z-index:-251652096">
            <v:imagedata r:id="rId15" o:title=""/>
          </v:shape>
        </w:pict>
      </w:r>
      <w:r>
        <w:rPr>
          <w:rFonts w:ascii="KaiTi" w:hAnsi="KaiTi" w:cs="KaiTi"/>
          <w:color w:val="000000"/>
          <w:spacing w:val="-3"/>
          <w:sz w:val="21"/>
        </w:rPr>
        <w:t>里正、坊正先调解，调解</w:t>
      </w:r>
    </w:p>
    <w:p>
      <w:pPr>
        <w:spacing w:before="234"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不成再告官；明确离婚的 </w:t>
      </w:r>
      <w:r>
        <w:rPr>
          <w:rFonts w:ascii="KaiTi" w:hAnsi="KaiTi" w:cs="KaiTi"/>
          <w:color w:val="000000"/>
          <w:spacing w:val="-4"/>
          <w:sz w:val="21"/>
        </w:rPr>
        <w:t>无尊长主婚时，女</w:t>
      </w:r>
    </w:p>
    <w:p>
      <w:pPr>
        <w:spacing w:before="0" w:after="0" w:line="234" w:lineRule="exact"/>
        <w:ind w:left="1080" w:right="5233" w:firstLine="1876"/>
        <w:jc w:val="left"/>
        <w:rPr>
          <w:rFonts w:ascii="Times New Roman"/>
          <w:color w:val="000000"/>
          <w:spacing w:val="0"/>
          <w:sz w:val="21"/>
        </w:rPr>
      </w:pPr>
      <w:r>
        <w:rPr>
          <w:rFonts w:ascii="KaiTi" w:hAnsi="KaiTi" w:cs="KaiTi"/>
          <w:color w:val="000000"/>
          <w:spacing w:val="-3"/>
          <w:sz w:val="21"/>
        </w:rPr>
        <w:t xml:space="preserve">三种合法形式：一是和离， </w:t>
      </w:r>
      <w:r>
        <w:rPr>
          <w:rFonts w:ascii="KaiTi" w:hAnsi="KaiTi" w:cs="KaiTi"/>
          <w:color w:val="000000"/>
          <w:spacing w:val="0"/>
          <w:sz w:val="21"/>
        </w:rPr>
        <w:t>子</w:t>
      </w:r>
      <w:r>
        <w:rPr>
          <w:rFonts w:ascii="Times New Roman"/>
          <w:color w:val="000000"/>
          <w:spacing w:val="25"/>
          <w:sz w:val="21"/>
        </w:rPr>
        <w:t xml:space="preserve"> </w:t>
      </w:r>
      <w:r>
        <w:rPr>
          <w:rFonts w:ascii="KaiTi" w:hAnsi="KaiTi" w:cs="KaiTi"/>
          <w:color w:val="000000"/>
          <w:spacing w:val="0"/>
          <w:sz w:val="21"/>
        </w:rPr>
        <w:t>择</w:t>
      </w:r>
      <w:r>
        <w:rPr>
          <w:rFonts w:ascii="Times New Roman"/>
          <w:color w:val="000000"/>
          <w:spacing w:val="25"/>
          <w:sz w:val="21"/>
        </w:rPr>
        <w:t xml:space="preserve"> </w:t>
      </w:r>
      <w:r>
        <w:rPr>
          <w:rFonts w:ascii="KaiTi" w:hAnsi="KaiTi" w:cs="KaiTi"/>
          <w:color w:val="000000"/>
          <w:spacing w:val="0"/>
          <w:sz w:val="21"/>
        </w:rPr>
        <w:t>偶</w:t>
      </w:r>
      <w:r>
        <w:rPr>
          <w:rFonts w:ascii="Times New Roman"/>
          <w:color w:val="000000"/>
          <w:spacing w:val="25"/>
          <w:sz w:val="21"/>
        </w:rPr>
        <w:t xml:space="preserve"> </w:t>
      </w:r>
      <w:r>
        <w:rPr>
          <w:rFonts w:ascii="KaiTi" w:hAnsi="KaiTi" w:cs="KaiTi"/>
          <w:color w:val="000000"/>
          <w:spacing w:val="0"/>
          <w:sz w:val="21"/>
        </w:rPr>
        <w:t>有</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主</w:t>
      </w:r>
    </w:p>
    <w:p>
      <w:pPr>
        <w:spacing w:before="0" w:after="0" w:line="234" w:lineRule="exact"/>
        <w:ind w:left="1080" w:right="5445" w:firstLine="1876"/>
        <w:jc w:val="left"/>
        <w:rPr>
          <w:rFonts w:ascii="Times New Roman"/>
          <w:color w:val="000000"/>
          <w:spacing w:val="0"/>
          <w:sz w:val="21"/>
        </w:rPr>
      </w:pPr>
      <w:r>
        <w:rPr>
          <w:rFonts w:ascii="KaiTi" w:hAnsi="KaiTi" w:cs="KaiTi"/>
          <w:color w:val="000000"/>
          <w:spacing w:val="20"/>
          <w:sz w:val="21"/>
        </w:rPr>
        <w:t xml:space="preserve">夫妻不相安谐可自愿离 </w:t>
      </w:r>
      <w:r>
        <w:rPr>
          <w:rFonts w:ascii="KaiTi" w:hAnsi="KaiTi" w:cs="KaiTi"/>
          <w:color w:val="000000"/>
          <w:spacing w:val="0"/>
          <w:sz w:val="21"/>
        </w:rPr>
        <w:t>权；</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《唐律疏</w:t>
      </w:r>
      <w:r>
        <w:rPr>
          <w:rFonts w:ascii="Times New Roman"/>
          <w:color w:val="000000"/>
          <w:spacing w:val="2063"/>
          <w:sz w:val="21"/>
        </w:rPr>
        <w:t xml:space="preserve"> </w:t>
      </w:r>
      <w:r>
        <w:rPr>
          <w:rFonts w:ascii="KaiTi" w:hAnsi="KaiTi" w:cs="KaiTi"/>
          <w:color w:val="000000"/>
          <w:spacing w:val="0"/>
          <w:sz w:val="21"/>
        </w:rPr>
        <w:t>异且不获罪；二是出妻，</w:t>
      </w:r>
      <w:r>
        <w:rPr>
          <w:rFonts w:ascii="Times New Roman"/>
          <w:color w:val="000000"/>
          <w:spacing w:val="143"/>
          <w:sz w:val="21"/>
        </w:rPr>
        <w:t xml:space="preserve"> </w:t>
      </w:r>
      <w:r>
        <w:rPr>
          <w:rFonts w:ascii="KaiTi" w:hAnsi="KaiTi" w:cs="KaiTi"/>
          <w:color w:val="000000"/>
          <w:spacing w:val="-4"/>
          <w:sz w:val="21"/>
        </w:rPr>
        <w:t>无赘婿、童养媳明确条款。</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未征得家长同意</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议·户婚</w:t>
      </w:r>
      <w:r>
        <w:rPr>
          <w:rFonts w:ascii="Times New Roman"/>
          <w:color w:val="000000"/>
          <w:spacing w:val="2063"/>
          <w:sz w:val="21"/>
        </w:rPr>
        <w:t xml:space="preserve"> </w:t>
      </w:r>
      <w:r>
        <w:rPr>
          <w:rFonts w:ascii="KaiTi" w:hAnsi="KaiTi" w:cs="KaiTi"/>
          <w:color w:val="000000"/>
          <w:spacing w:val="0"/>
          <w:sz w:val="21"/>
        </w:rPr>
        <w:t>丈</w:t>
      </w:r>
      <w:r>
        <w:rPr>
          <w:rFonts w:ascii="Times New Roman"/>
          <w:color w:val="000000"/>
          <w:spacing w:val="12"/>
          <w:sz w:val="21"/>
        </w:rPr>
        <w:t xml:space="preserve"> </w:t>
      </w:r>
      <w:r>
        <w:rPr>
          <w:rFonts w:ascii="KaiTi" w:hAnsi="KaiTi" w:cs="KaiTi"/>
          <w:color w:val="000000"/>
          <w:spacing w:val="0"/>
          <w:sz w:val="21"/>
        </w:rPr>
        <w:t>夫</w:t>
      </w:r>
      <w:r>
        <w:rPr>
          <w:rFonts w:ascii="Times New Roman"/>
          <w:color w:val="000000"/>
          <w:spacing w:val="12"/>
          <w:sz w:val="21"/>
        </w:rPr>
        <w:t xml:space="preserve"> </w:t>
      </w:r>
      <w:r>
        <w:rPr>
          <w:rFonts w:ascii="KaiTi" w:hAnsi="KaiTi" w:cs="KaiTi"/>
          <w:color w:val="000000"/>
          <w:spacing w:val="0"/>
          <w:sz w:val="21"/>
        </w:rPr>
        <w:t>可</w:t>
      </w:r>
      <w:r>
        <w:rPr>
          <w:rFonts w:ascii="Times New Roman"/>
          <w:color w:val="000000"/>
          <w:spacing w:val="12"/>
          <w:sz w:val="21"/>
        </w:rPr>
        <w:t xml:space="preserve"> </w:t>
      </w:r>
      <w:r>
        <w:rPr>
          <w:rFonts w:ascii="KaiTi" w:hAnsi="KaiTi" w:cs="KaiTi"/>
          <w:color w:val="000000"/>
          <w:spacing w:val="0"/>
          <w:sz w:val="21"/>
        </w:rPr>
        <w:t>依</w:t>
      </w:r>
      <w:r>
        <w:rPr>
          <w:rFonts w:ascii="Times New Roman"/>
          <w:color w:val="000000"/>
          <w:spacing w:val="12"/>
          <w:sz w:val="21"/>
        </w:rPr>
        <w:t xml:space="preserve"> </w:t>
      </w:r>
      <w:r>
        <w:rPr>
          <w:rFonts w:ascii="KaiTi" w:hAnsi="KaiTi" w:cs="KaiTi"/>
          <w:color w:val="000000"/>
          <w:spacing w:val="0"/>
          <w:sz w:val="21"/>
        </w:rPr>
        <w:t>“七</w:t>
      </w:r>
      <w:r>
        <w:rPr>
          <w:rFonts w:ascii="Times New Roman"/>
          <w:color w:val="000000"/>
          <w:spacing w:val="12"/>
          <w:sz w:val="21"/>
        </w:rPr>
        <w:t xml:space="preserve"> </w:t>
      </w:r>
      <w:r>
        <w:rPr>
          <w:rFonts w:ascii="KaiTi" w:hAnsi="KaiTi" w:cs="KaiTi"/>
          <w:color w:val="000000"/>
          <w:spacing w:val="0"/>
          <w:sz w:val="21"/>
        </w:rPr>
        <w:t>出</w:t>
      </w:r>
      <w:r>
        <w:rPr>
          <w:rFonts w:ascii="Times New Roman"/>
          <w:color w:val="000000"/>
          <w:spacing w:val="12"/>
          <w:sz w:val="21"/>
        </w:rPr>
        <w:t xml:space="preserve"> </w:t>
      </w:r>
      <w:r>
        <w:rPr>
          <w:rFonts w:ascii="KaiTi" w:hAnsi="KaiTi" w:cs="KaiTi"/>
          <w:color w:val="000000"/>
          <w:spacing w:val="0"/>
          <w:sz w:val="21"/>
        </w:rPr>
        <w:t>”休</w:t>
      </w:r>
      <w:r>
        <w:rPr>
          <w:rFonts w:ascii="Times New Roman"/>
          <w:color w:val="000000"/>
          <w:spacing w:val="176"/>
          <w:sz w:val="21"/>
        </w:rPr>
        <w:t xml:space="preserve"> </w:t>
      </w:r>
      <w:r>
        <w:rPr>
          <w:rFonts w:ascii="KaiTi" w:hAnsi="KaiTi" w:cs="KaiTi"/>
          <w:color w:val="000000"/>
          <w:spacing w:val="-5"/>
          <w:sz w:val="21"/>
        </w:rPr>
        <w:t>同姓不婚、良贱不婚，违</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但已建立婚姻关</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律》</w:t>
      </w:r>
      <w:r>
        <w:rPr>
          <w:rFonts w:ascii="Times New Roman"/>
          <w:color w:val="000000"/>
          <w:spacing w:val="2484"/>
          <w:sz w:val="21"/>
        </w:rPr>
        <w:t xml:space="preserve"> </w:t>
      </w:r>
      <w:r>
        <w:rPr>
          <w:rFonts w:ascii="KaiTi" w:hAnsi="KaiTi" w:cs="KaiTi"/>
          <w:color w:val="000000"/>
          <w:spacing w:val="-1"/>
          <w:sz w:val="21"/>
        </w:rPr>
        <w:t>妻，但妻子符合“三不去”者需受刑罚且强制离异</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4"/>
          <w:sz w:val="21"/>
        </w:rPr>
        <w:t>系的，法律也予以</w:t>
      </w:r>
    </w:p>
    <w:p>
      <w:pPr>
        <w:spacing w:before="0"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情形的不得休弃；三是义 </w:t>
      </w:r>
      <w:r>
        <w:rPr>
          <w:rFonts w:ascii="KaiTi" w:hAnsi="KaiTi" w:cs="KaiTi"/>
          <w:color w:val="000000"/>
          <w:spacing w:val="-4"/>
          <w:sz w:val="21"/>
        </w:rPr>
        <w:t>认可；未成年且不</w:t>
      </w:r>
    </w:p>
    <w:p>
      <w:pPr>
        <w:spacing w:before="0" w:after="0" w:line="234" w:lineRule="exact"/>
        <w:ind w:left="1080" w:right="5443" w:firstLine="1876"/>
        <w:jc w:val="left"/>
        <w:rPr>
          <w:rFonts w:ascii="Times New Roman"/>
          <w:color w:val="000000"/>
          <w:spacing w:val="0"/>
          <w:sz w:val="21"/>
        </w:rPr>
      </w:pPr>
      <w:r>
        <w:rPr>
          <w:rFonts w:ascii="KaiTi" w:hAnsi="KaiTi" w:cs="KaiTi"/>
          <w:color w:val="000000"/>
          <w:spacing w:val="-3"/>
          <w:sz w:val="21"/>
        </w:rPr>
        <w:t xml:space="preserve">绝，若存在夫妻亲属间殴 </w:t>
      </w:r>
      <w:r>
        <w:rPr>
          <w:rFonts w:ascii="KaiTi" w:hAnsi="KaiTi" w:cs="KaiTi"/>
          <w:color w:val="000000"/>
          <w:spacing w:val="0"/>
          <w:sz w:val="21"/>
        </w:rPr>
        <w:t>从尊长者违律</w:t>
      </w:r>
    </w:p>
    <w:p>
      <w:pPr>
        <w:spacing w:before="14" w:after="0" w:line="220" w:lineRule="exact"/>
        <w:ind w:left="2956" w:right="0" w:firstLine="0"/>
        <w:jc w:val="left"/>
        <w:rPr>
          <w:rFonts w:ascii="Times New Roman"/>
          <w:color w:val="000000"/>
          <w:spacing w:val="0"/>
          <w:sz w:val="21"/>
        </w:rPr>
      </w:pPr>
      <w:r>
        <w:rPr>
          <w:rFonts w:ascii="KaiTi" w:hAnsi="KaiTi" w:cs="KaiTi"/>
          <w:color w:val="000000"/>
          <w:spacing w:val="-3"/>
          <w:sz w:val="21"/>
        </w:rPr>
        <w:t>杀、奸杀等情形，必须强</w:t>
      </w:r>
    </w:p>
    <w:p>
      <w:pPr>
        <w:spacing w:before="248" w:after="0" w:line="220" w:lineRule="exact"/>
        <w:ind w:left="2956" w:right="0" w:firstLine="0"/>
        <w:jc w:val="left"/>
        <w:rPr>
          <w:rFonts w:ascii="Times New Roman"/>
          <w:color w:val="000000"/>
          <w:spacing w:val="0"/>
          <w:sz w:val="21"/>
        </w:rPr>
      </w:pPr>
      <w:r>
        <w:rPr>
          <w:rFonts w:ascii="KaiTi" w:hAnsi="KaiTi" w:cs="KaiTi"/>
          <w:color w:val="000000"/>
          <w:spacing w:val="0"/>
          <w:sz w:val="21"/>
        </w:rPr>
        <w:t>制离婚，违者杖八十</w:t>
      </w:r>
    </w:p>
    <w:p>
      <w:pPr>
        <w:spacing w:before="413" w:after="0" w:line="220" w:lineRule="exact"/>
        <w:ind w:left="1080" w:right="0" w:firstLine="0"/>
        <w:jc w:val="left"/>
        <w:rPr>
          <w:rFonts w:ascii="Times New Roman"/>
          <w:color w:val="000000"/>
          <w:spacing w:val="0"/>
          <w:sz w:val="21"/>
        </w:rPr>
      </w:pPr>
      <w:r>
        <w:rPr>
          <w:rFonts w:ascii="KaiTi" w:hAnsi="KaiTi" w:cs="KaiTi"/>
          <w:color w:val="000000"/>
          <w:spacing w:val="-4"/>
          <w:sz w:val="21"/>
        </w:rPr>
        <w:t>无尊长主婚时，女</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5"/>
          <w:sz w:val="21"/>
        </w:rPr>
        <w:t xml:space="preserve">北宋时户绝（无男丁）之 </w:t>
      </w:r>
      <w:r>
        <w:rPr>
          <w:rFonts w:ascii="KaiTi" w:hAnsi="KaiTi" w:cs="KaiTi"/>
          <w:color w:val="000000"/>
          <w:spacing w:val="0"/>
          <w:sz w:val="21"/>
        </w:rPr>
        <w:t>子</w:t>
      </w:r>
      <w:r>
        <w:rPr>
          <w:rFonts w:ascii="Times New Roman"/>
          <w:color w:val="000000"/>
          <w:spacing w:val="25"/>
          <w:sz w:val="21"/>
        </w:rPr>
        <w:t xml:space="preserve"> </w:t>
      </w:r>
      <w:r>
        <w:rPr>
          <w:rFonts w:ascii="KaiTi" w:hAnsi="KaiTi" w:cs="KaiTi"/>
          <w:color w:val="000000"/>
          <w:spacing w:val="0"/>
          <w:sz w:val="21"/>
        </w:rPr>
        <w:t>有</w:t>
      </w:r>
      <w:r>
        <w:rPr>
          <w:rFonts w:ascii="Times New Roman"/>
          <w:color w:val="000000"/>
          <w:spacing w:val="25"/>
          <w:sz w:val="21"/>
        </w:rPr>
        <w:t xml:space="preserve"> </w:t>
      </w:r>
      <w:r>
        <w:rPr>
          <w:rFonts w:ascii="KaiTi" w:hAnsi="KaiTi" w:cs="KaiTi"/>
          <w:color w:val="000000"/>
          <w:spacing w:val="0"/>
          <w:sz w:val="21"/>
        </w:rPr>
        <w:t>限</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主</w:t>
      </w:r>
      <w:r>
        <w:rPr>
          <w:rFonts w:ascii="Times New Roman"/>
          <w:color w:val="000000"/>
          <w:spacing w:val="25"/>
          <w:sz w:val="21"/>
        </w:rPr>
        <w:t xml:space="preserve"> </w:t>
      </w:r>
      <w:r>
        <w:rPr>
          <w:rFonts w:ascii="KaiTi" w:hAnsi="KaiTi" w:cs="KaiTi"/>
          <w:color w:val="000000"/>
          <w:spacing w:val="0"/>
          <w:sz w:val="21"/>
        </w:rPr>
        <w:t>择</w:t>
      </w:r>
      <w:r>
        <w:rPr>
          <w:rFonts w:ascii="Times New Roman"/>
          <w:color w:val="000000"/>
          <w:spacing w:val="176"/>
          <w:sz w:val="21"/>
        </w:rPr>
        <w:t xml:space="preserve"> </w:t>
      </w:r>
      <w:r>
        <w:rPr>
          <w:rFonts w:ascii="KaiTi" w:hAnsi="KaiTi" w:cs="KaiTi"/>
          <w:color w:val="000000"/>
          <w:spacing w:val="-3"/>
          <w:sz w:val="21"/>
        </w:rPr>
        <w:t>除原有规则外，对纠纷中</w:t>
      </w:r>
    </w:p>
    <w:p>
      <w:pPr>
        <w:spacing w:before="0" w:after="0" w:line="234" w:lineRule="exact"/>
        <w:ind w:left="1080" w:right="2953" w:firstLine="4382"/>
        <w:jc w:val="left"/>
        <w:rPr>
          <w:rFonts w:ascii="Times New Roman"/>
          <w:color w:val="000000"/>
          <w:spacing w:val="0"/>
          <w:sz w:val="21"/>
        </w:rPr>
      </w:pPr>
      <w:r>
        <w:rPr>
          <w:rFonts w:ascii="KaiTi" w:hAnsi="KaiTi" w:cs="KaiTi"/>
          <w:color w:val="000000"/>
          <w:spacing w:val="0"/>
          <w:sz w:val="21"/>
        </w:rPr>
        <w:t>家</w:t>
      </w:r>
      <w:r>
        <w:rPr>
          <w:rFonts w:ascii="Times New Roman"/>
          <w:color w:val="000000"/>
          <w:spacing w:val="-6"/>
          <w:sz w:val="21"/>
        </w:rPr>
        <w:t xml:space="preserve"> </w:t>
      </w:r>
      <w:r>
        <w:rPr>
          <w:rFonts w:ascii="KaiTi" w:hAnsi="KaiTi" w:cs="KaiTi"/>
          <w:color w:val="000000"/>
          <w:spacing w:val="0"/>
          <w:sz w:val="21"/>
        </w:rPr>
        <w:t>若</w:t>
      </w:r>
      <w:r>
        <w:rPr>
          <w:rFonts w:ascii="Times New Roman"/>
          <w:color w:val="000000"/>
          <w:spacing w:val="-6"/>
          <w:sz w:val="21"/>
        </w:rPr>
        <w:t xml:space="preserve"> </w:t>
      </w:r>
      <w:r>
        <w:rPr>
          <w:rFonts w:ascii="KaiTi" w:hAnsi="KaiTi" w:cs="KaiTi"/>
          <w:color w:val="000000"/>
          <w:spacing w:val="0"/>
          <w:sz w:val="21"/>
        </w:rPr>
        <w:t>无</w:t>
      </w:r>
      <w:r>
        <w:rPr>
          <w:rFonts w:ascii="Times New Roman"/>
          <w:color w:val="000000"/>
          <w:spacing w:val="-6"/>
          <w:sz w:val="21"/>
        </w:rPr>
        <w:t xml:space="preserve"> </w:t>
      </w:r>
      <w:r>
        <w:rPr>
          <w:rFonts w:ascii="KaiTi" w:hAnsi="KaiTi" w:cs="KaiTi"/>
          <w:color w:val="000000"/>
          <w:spacing w:val="0"/>
          <w:sz w:val="21"/>
        </w:rPr>
        <w:t>在</w:t>
      </w:r>
      <w:r>
        <w:rPr>
          <w:rFonts w:ascii="Times New Roman"/>
          <w:color w:val="000000"/>
          <w:spacing w:val="-6"/>
          <w:sz w:val="21"/>
        </w:rPr>
        <w:t xml:space="preserve"> </w:t>
      </w:r>
      <w:r>
        <w:rPr>
          <w:rFonts w:ascii="KaiTi" w:hAnsi="KaiTi" w:cs="KaiTi"/>
          <w:color w:val="000000"/>
          <w:spacing w:val="0"/>
          <w:sz w:val="21"/>
        </w:rPr>
        <w:t>室</w:t>
      </w:r>
      <w:r>
        <w:rPr>
          <w:rFonts w:ascii="Times New Roman"/>
          <w:color w:val="000000"/>
          <w:spacing w:val="-6"/>
          <w:sz w:val="21"/>
        </w:rPr>
        <w:t xml:space="preserve"> </w:t>
      </w:r>
      <w:r>
        <w:rPr>
          <w:rFonts w:ascii="KaiTi" w:hAnsi="KaiTi" w:cs="KaiTi"/>
          <w:color w:val="000000"/>
          <w:spacing w:val="0"/>
          <w:sz w:val="21"/>
        </w:rPr>
        <w:t>女</w:t>
      </w:r>
      <w:r>
        <w:rPr>
          <w:rFonts w:ascii="Times New Roman"/>
          <w:color w:val="000000"/>
          <w:spacing w:val="-6"/>
          <w:sz w:val="21"/>
        </w:rPr>
        <w:t xml:space="preserve"> </w:t>
      </w:r>
      <w:r>
        <w:rPr>
          <w:rFonts w:ascii="KaiTi" w:hAnsi="KaiTi" w:cs="KaiTi"/>
          <w:color w:val="000000"/>
          <w:spacing w:val="0"/>
          <w:sz w:val="21"/>
        </w:rPr>
        <w:t>和</w:t>
      </w:r>
      <w:r>
        <w:rPr>
          <w:rFonts w:ascii="Times New Roman"/>
          <w:color w:val="000000"/>
          <w:spacing w:val="-6"/>
          <w:sz w:val="21"/>
        </w:rPr>
        <w:t xml:space="preserve"> </w:t>
      </w:r>
      <w:r>
        <w:rPr>
          <w:rFonts w:ascii="KaiTi" w:hAnsi="KaiTi" w:cs="KaiTi"/>
          <w:color w:val="000000"/>
          <w:spacing w:val="0"/>
          <w:sz w:val="21"/>
        </w:rPr>
        <w:t>出</w:t>
      </w:r>
      <w:r>
        <w:rPr>
          <w:rFonts w:ascii="Times New Roman"/>
          <w:color w:val="000000"/>
          <w:spacing w:val="-6"/>
          <w:sz w:val="21"/>
        </w:rPr>
        <w:t xml:space="preserve"> </w:t>
      </w:r>
      <w:r>
        <w:rPr>
          <w:rFonts w:ascii="KaiTi" w:hAnsi="KaiTi" w:cs="KaiTi"/>
          <w:color w:val="000000"/>
          <w:spacing w:val="0"/>
          <w:sz w:val="21"/>
        </w:rPr>
        <w:t xml:space="preserve">嫁 </w:t>
      </w:r>
      <w:r>
        <w:rPr>
          <w:rFonts w:ascii="KaiTi" w:hAnsi="KaiTi" w:cs="KaiTi"/>
          <w:color w:val="000000"/>
          <w:spacing w:val="0"/>
          <w:sz w:val="21"/>
        </w:rPr>
        <w:t>偶；</w:t>
      </w:r>
      <w:r>
        <w:rPr>
          <w:rFonts w:ascii="Times New Roman"/>
          <w:color w:val="000000"/>
          <w:spacing w:val="1403"/>
          <w:sz w:val="21"/>
        </w:rPr>
        <w:t xml:space="preserve"> </w:t>
      </w:r>
      <w:r>
        <w:rPr>
          <w:rFonts w:ascii="KaiTi" w:hAnsi="KaiTi" w:cs="KaiTi"/>
          <w:color w:val="000000"/>
          <w:spacing w:val="-3"/>
          <w:sz w:val="21"/>
        </w:rPr>
        <w:t>的“妄冒成婚”（如隐瞒</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女，与户主同居满三年的 </w:t>
      </w:r>
      <w:r>
        <w:rPr>
          <w:rFonts w:ascii="KaiTi" w:hAnsi="KaiTi" w:cs="KaiTi"/>
          <w:color w:val="000000"/>
          <w:spacing w:val="30"/>
          <w:sz w:val="21"/>
        </w:rPr>
        <w:t>婚姻成立需以婚</w:t>
      </w:r>
      <w:r>
        <w:rPr>
          <w:rFonts w:ascii="Times New Roman"/>
          <w:color w:val="000000"/>
          <w:spacing w:val="147"/>
          <w:sz w:val="21"/>
        </w:rPr>
        <w:t xml:space="preserve"> </w:t>
      </w:r>
      <w:r>
        <w:rPr>
          <w:rFonts w:ascii="KaiTi" w:hAnsi="KaiTi" w:cs="KaiTi"/>
          <w:color w:val="000000"/>
          <w:spacing w:val="-9"/>
          <w:sz w:val="21"/>
        </w:rPr>
        <w:t>身份、健康等信息成婚），</w:t>
      </w:r>
    </w:p>
    <w:p>
      <w:pPr>
        <w:spacing w:before="0" w:after="0" w:line="234" w:lineRule="exact"/>
        <w:ind w:left="0" w:right="0" w:firstLine="0"/>
        <w:jc w:val="left"/>
        <w:rPr>
          <w:rFonts w:ascii="Times New Roman"/>
          <w:color w:val="000000"/>
          <w:spacing w:val="0"/>
          <w:sz w:val="21"/>
        </w:rPr>
      </w:pPr>
      <w:r>
        <w:rPr>
          <w:rFonts w:ascii="KaiTi" w:hAnsi="KaiTi" w:cs="KaiTi"/>
          <w:color w:val="000000"/>
          <w:spacing w:val="0"/>
          <w:sz w:val="21"/>
        </w:rPr>
        <w:t>《</w:t>
      </w:r>
      <w:r>
        <w:rPr>
          <w:rFonts w:ascii="Times New Roman"/>
          <w:color w:val="000000"/>
          <w:spacing w:val="59"/>
          <w:sz w:val="21"/>
        </w:rPr>
        <w:t xml:space="preserve"> </w:t>
      </w:r>
      <w:r>
        <w:rPr>
          <w:rFonts w:ascii="KaiTi" w:hAnsi="KaiTi" w:cs="KaiTi"/>
          <w:color w:val="000000"/>
          <w:spacing w:val="0"/>
          <w:sz w:val="21"/>
        </w:rPr>
        <w:t>宋</w:t>
      </w:r>
      <w:r>
        <w:rPr>
          <w:rFonts w:ascii="Times New Roman"/>
          <w:color w:val="000000"/>
          <w:spacing w:val="59"/>
          <w:sz w:val="21"/>
        </w:rPr>
        <w:t xml:space="preserve"> </w:t>
      </w:r>
      <w:r>
        <w:rPr>
          <w:rFonts w:ascii="KaiTi" w:hAnsi="KaiTi" w:cs="KaiTi"/>
          <w:color w:val="000000"/>
          <w:spacing w:val="0"/>
          <w:sz w:val="21"/>
        </w:rPr>
        <w:t>刑</w:t>
      </w:r>
      <w:r>
        <w:rPr>
          <w:rFonts w:ascii="Times New Roman"/>
          <w:color w:val="000000"/>
          <w:spacing w:val="4558"/>
          <w:sz w:val="21"/>
        </w:rPr>
        <w:t xml:space="preserve"> </w:t>
      </w:r>
      <w:r>
        <w:rPr>
          <w:rFonts w:ascii="KaiTi" w:hAnsi="KaiTi" w:cs="KaiTi"/>
          <w:color w:val="000000"/>
          <w:spacing w:val="0"/>
          <w:sz w:val="21"/>
        </w:rPr>
        <w:t>赘婿可继承全部财产；</w:t>
      </w:r>
      <w:r>
        <w:rPr>
          <w:rFonts w:ascii="KaiTi" w:hAnsi="KaiTi" w:cs="KaiTi"/>
          <w:color w:val="000000"/>
          <w:spacing w:val="0"/>
          <w:sz w:val="21"/>
        </w:rPr>
        <w:cr/>
      </w:r>
      <w:r>
        <w:rPr>
          <w:rFonts w:ascii="Times New Roman"/>
          <w:color w:val="000000"/>
          <w:spacing w:val="1028"/>
          <w:sz w:val="21"/>
        </w:rPr>
        <w:t xml:space="preserve"> </w:t>
      </w:r>
      <w:r>
        <w:rPr>
          <w:rFonts w:ascii="KaiTi" w:hAnsi="KaiTi" w:cs="KaiTi"/>
          <w:color w:val="000000"/>
          <w:spacing w:val="0"/>
          <w:sz w:val="21"/>
        </w:rPr>
        <w:t>书、聘财为要件，</w:t>
      </w:r>
      <w:r>
        <w:rPr>
          <w:rFonts w:ascii="Times New Roman"/>
          <w:color w:val="000000"/>
          <w:spacing w:val="143"/>
          <w:sz w:val="21"/>
        </w:rPr>
        <w:t xml:space="preserve"> </w:t>
      </w:r>
      <w:r>
        <w:rPr>
          <w:rFonts w:ascii="KaiTi" w:hAnsi="KaiTi" w:cs="KaiTi"/>
          <w:color w:val="000000"/>
          <w:spacing w:val="-3"/>
          <w:sz w:val="21"/>
        </w:rPr>
        <w:t>规定需强制离异，且相关</w:t>
      </w:r>
    </w:p>
    <w:p>
      <w:pPr>
        <w:spacing w:before="0" w:after="0" w:line="234" w:lineRule="exact"/>
        <w:ind w:left="0" w:right="0" w:firstLine="0"/>
        <w:jc w:val="left"/>
        <w:rPr>
          <w:rFonts w:ascii="Times New Roman"/>
          <w:color w:val="000000"/>
          <w:spacing w:val="0"/>
          <w:sz w:val="21"/>
        </w:rPr>
      </w:pPr>
      <w:r>
        <w:rPr>
          <w:rFonts w:ascii="KaiTi" w:hAnsi="KaiTi" w:cs="KaiTi"/>
          <w:color w:val="000000"/>
          <w:spacing w:val="0"/>
          <w:sz w:val="21"/>
        </w:rPr>
        <w:t>统·户婚</w:t>
      </w:r>
      <w:r>
        <w:rPr>
          <w:rFonts w:ascii="Times New Roman"/>
          <w:color w:val="000000"/>
          <w:spacing w:val="4569"/>
          <w:sz w:val="21"/>
        </w:rPr>
        <w:t xml:space="preserve"> </w:t>
      </w:r>
      <w:r>
        <w:rPr>
          <w:rFonts w:ascii="KaiTi" w:hAnsi="KaiTi" w:cs="KaiTi"/>
          <w:color w:val="000000"/>
          <w:spacing w:val="18"/>
          <w:sz w:val="21"/>
        </w:rPr>
        <w:t>南宋时赘婿即便妻家有</w:t>
      </w:r>
      <w:r>
        <w:rPr>
          <w:rFonts w:ascii="KaiTi" w:hAnsi="KaiTi" w:cs="KaiTi"/>
          <w:color w:val="000000"/>
          <w:spacing w:val="18"/>
          <w:sz w:val="21"/>
        </w:rPr>
        <w:cr/>
      </w:r>
      <w:r>
        <w:rPr>
          <w:rFonts w:ascii="Times New Roman"/>
          <w:color w:val="000000"/>
          <w:spacing w:val="1028"/>
          <w:sz w:val="21"/>
        </w:rPr>
        <w:t xml:space="preserve"> </w:t>
      </w:r>
      <w:r>
        <w:rPr>
          <w:rFonts w:ascii="KaiTi" w:hAnsi="KaiTi" w:cs="KaiTi"/>
          <w:color w:val="000000"/>
          <w:spacing w:val="30"/>
          <w:sz w:val="21"/>
        </w:rPr>
        <w:t>若女子已报婚书</w:t>
      </w:r>
      <w:r>
        <w:rPr>
          <w:rFonts w:ascii="Times New Roman"/>
          <w:color w:val="000000"/>
          <w:spacing w:val="147"/>
          <w:sz w:val="21"/>
        </w:rPr>
        <w:t xml:space="preserve"> </w:t>
      </w:r>
      <w:r>
        <w:rPr>
          <w:rFonts w:ascii="KaiTi" w:hAnsi="KaiTi" w:cs="KaiTi"/>
          <w:color w:val="000000"/>
          <w:spacing w:val="-3"/>
          <w:sz w:val="21"/>
        </w:rPr>
        <w:t>责任人要受杖刑；若涉及</w:t>
      </w:r>
    </w:p>
    <w:p>
      <w:pPr>
        <w:spacing w:before="14" w:after="0" w:line="220" w:lineRule="exact"/>
        <w:ind w:left="0" w:right="0" w:firstLine="0"/>
        <w:jc w:val="left"/>
        <w:rPr>
          <w:rFonts w:ascii="Times New Roman"/>
          <w:color w:val="000000"/>
          <w:spacing w:val="0"/>
          <w:sz w:val="21"/>
        </w:rPr>
      </w:pPr>
      <w:r>
        <w:rPr>
          <w:rFonts w:ascii="KaiTi" w:hAnsi="KaiTi" w:cs="KaiTi"/>
          <w:color w:val="000000"/>
          <w:spacing w:val="0"/>
          <w:sz w:val="21"/>
        </w:rPr>
        <w:t>律》</w:t>
      </w:r>
      <w:r>
        <w:rPr>
          <w:rFonts w:ascii="Times New Roman"/>
          <w:color w:val="000000"/>
          <w:spacing w:val="4990"/>
          <w:sz w:val="21"/>
        </w:rPr>
        <w:t xml:space="preserve"> </w:t>
      </w:r>
      <w:r>
        <w:rPr>
          <w:rFonts w:ascii="KaiTi" w:hAnsi="KaiTi" w:cs="KaiTi"/>
          <w:color w:val="000000"/>
          <w:spacing w:val="-4"/>
          <w:sz w:val="21"/>
        </w:rPr>
        <w:t>继承人，也可获得妻家财</w:t>
      </w:r>
    </w:p>
    <w:p>
      <w:pPr>
        <w:spacing w:before="14" w:after="0" w:line="220" w:lineRule="exact"/>
        <w:ind w:left="1080" w:right="0" w:firstLine="0"/>
        <w:jc w:val="left"/>
        <w:rPr>
          <w:rFonts w:ascii="Times New Roman"/>
          <w:color w:val="000000"/>
          <w:spacing w:val="0"/>
          <w:sz w:val="21"/>
        </w:rPr>
      </w:pPr>
      <w:r>
        <w:rPr>
          <w:rFonts w:ascii="KaiTi" w:hAnsi="KaiTi" w:cs="KaiTi"/>
          <w:color w:val="000000"/>
          <w:spacing w:val="30"/>
          <w:sz w:val="21"/>
        </w:rPr>
        <w:t>或收聘财后擅自</w:t>
      </w:r>
      <w:r>
        <w:rPr>
          <w:rFonts w:ascii="Times New Roman"/>
          <w:color w:val="000000"/>
          <w:spacing w:val="147"/>
          <w:sz w:val="21"/>
        </w:rPr>
        <w:t xml:space="preserve"> </w:t>
      </w:r>
      <w:r>
        <w:rPr>
          <w:rFonts w:ascii="KaiTi" w:hAnsi="KaiTi" w:cs="KaiTi"/>
          <w:color w:val="000000"/>
          <w:spacing w:val="20"/>
          <w:sz w:val="21"/>
        </w:rPr>
        <w:t>官员娶部民妇女等违规</w:t>
      </w:r>
    </w:p>
    <w:p>
      <w:pPr>
        <w:spacing w:before="0" w:after="0" w:line="234" w:lineRule="exact"/>
        <w:ind w:left="1080" w:right="3745" w:firstLine="4382"/>
        <w:jc w:val="left"/>
        <w:rPr>
          <w:rFonts w:ascii="Times New Roman"/>
          <w:color w:val="000000"/>
          <w:spacing w:val="0"/>
          <w:sz w:val="21"/>
        </w:rPr>
      </w:pPr>
      <w:r>
        <w:rPr>
          <w:rFonts w:ascii="KaiTi" w:hAnsi="KaiTi" w:cs="KaiTi"/>
          <w:color w:val="000000"/>
          <w:spacing w:val="0"/>
          <w:sz w:val="21"/>
        </w:rPr>
        <w:t xml:space="preserve">产的十分之三； </w:t>
      </w:r>
      <w:r>
        <w:rPr>
          <w:rFonts w:ascii="KaiTi" w:hAnsi="KaiTi" w:cs="KaiTi"/>
          <w:color w:val="000000"/>
          <w:spacing w:val="-4"/>
          <w:sz w:val="21"/>
        </w:rPr>
        <w:t>悔婚，需承担相应</w:t>
      </w:r>
      <w:r>
        <w:rPr>
          <w:rFonts w:ascii="Times New Roman"/>
          <w:color w:val="000000"/>
          <w:spacing w:val="179"/>
          <w:sz w:val="21"/>
        </w:rPr>
        <w:t xml:space="preserve"> </w:t>
      </w:r>
      <w:r>
        <w:rPr>
          <w:rFonts w:ascii="KaiTi" w:hAnsi="KaiTi" w:cs="KaiTi"/>
          <w:color w:val="000000"/>
          <w:spacing w:val="-3"/>
          <w:sz w:val="21"/>
        </w:rPr>
        <w:t>婚姻，会加重处罚并强制</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禁止指腹为婚等形式，违 </w:t>
      </w:r>
      <w:r>
        <w:rPr>
          <w:rFonts w:ascii="KaiTi" w:hAnsi="KaiTi" w:cs="KaiTi"/>
          <w:color w:val="000000"/>
          <w:spacing w:val="-4"/>
          <w:sz w:val="21"/>
        </w:rPr>
        <w:t>刑责；对女性再婚</w:t>
      </w:r>
      <w:r>
        <w:rPr>
          <w:rFonts w:ascii="Times New Roman"/>
          <w:color w:val="000000"/>
          <w:spacing w:val="179"/>
          <w:sz w:val="21"/>
        </w:rPr>
        <w:t xml:space="preserve"> </w:t>
      </w:r>
      <w:r>
        <w:rPr>
          <w:rFonts w:ascii="KaiTi" w:hAnsi="KaiTi" w:cs="KaiTi"/>
          <w:color w:val="000000"/>
          <w:spacing w:val="0"/>
          <w:sz w:val="21"/>
        </w:rPr>
        <w:t>离异</w:t>
      </w:r>
    </w:p>
    <w:p>
      <w:pPr>
        <w:spacing w:before="0" w:after="0" w:line="234" w:lineRule="exact"/>
        <w:ind w:left="1080" w:right="4165" w:firstLine="4382"/>
        <w:jc w:val="left"/>
        <w:rPr>
          <w:rFonts w:ascii="Times New Roman"/>
          <w:color w:val="000000"/>
          <w:spacing w:val="0"/>
          <w:sz w:val="21"/>
        </w:rPr>
      </w:pPr>
      <w:r>
        <w:rPr>
          <w:rFonts w:ascii="KaiTi" w:hAnsi="KaiTi" w:cs="KaiTi"/>
          <w:color w:val="000000"/>
          <w:spacing w:val="0"/>
          <w:sz w:val="21"/>
        </w:rPr>
        <w:t xml:space="preserve">者不予认可 </w:t>
      </w:r>
      <w:r>
        <w:rPr>
          <w:rFonts w:ascii="KaiTi" w:hAnsi="KaiTi" w:cs="KaiTi"/>
          <w:color w:val="000000"/>
          <w:spacing w:val="0"/>
          <w:sz w:val="21"/>
        </w:rPr>
        <w:t>限制宽松</w:t>
      </w:r>
    </w:p>
    <w:p>
      <w:pPr>
        <w:spacing w:before="4079"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5</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spacing w:before="0" w:after="0" w:line="234" w:lineRule="exact"/>
        <w:ind w:left="1080" w:right="2952" w:firstLine="4382"/>
        <w:jc w:val="left"/>
        <w:rPr>
          <w:rFonts w:ascii="Times New Roman"/>
          <w:color w:val="000000"/>
          <w:spacing w:val="0"/>
          <w:sz w:val="21"/>
        </w:rPr>
      </w:pPr>
      <w:bookmarkStart w:id="5" w:name="br6"/>
      <w:bookmarkEnd w:id="5"/>
      <w:r>
        <w:rPr>
          <w:noProof/>
        </w:rPr>
        <w:pict>
          <v:shape id="_x0000_s1046" type="#_x0000_t75" style="width:5pt;height:5.75pt;margin-top:473.3pt;margin-left:212.1pt;mso-position-horizontal-relative:page;mso-position-vertical-relative:page;position:absolute;z-index:-251653120">
            <v:imagedata r:id="rId5" o:title=""/>
          </v:shape>
        </w:pict>
      </w:r>
      <w:r>
        <w:rPr>
          <w:noProof/>
        </w:rPr>
        <w:pict>
          <v:shape id="_x0000_s1047" type="#_x0000_t75" style="width:2.75pt;height:2.75pt;margin-top:769.7pt;margin-left:116.8pt;mso-position-horizontal-relative:page;mso-position-vertical-relative:page;position:absolute;z-index:-251654144">
            <v:imagedata r:id="rId16" o:title=""/>
          </v:shape>
        </w:pict>
      </w:r>
      <w:r>
        <w:rPr>
          <w:noProof/>
        </w:rPr>
        <w:pict>
          <v:shape id="_x0000_s1048" type="#_x0000_t75" style="width:400.4pt;height:245.15pt;margin-top:65.05pt;margin-left:47pt;mso-position-horizontal-relative:page;mso-position-vertical-relative:page;position:absolute;z-index:-251655168">
            <v:imagedata r:id="rId17" o:title=""/>
          </v:shape>
        </w:pict>
      </w:r>
      <w:r>
        <w:rPr>
          <w:rFonts w:ascii="KaiTi" w:hAnsi="KaiTi" w:cs="KaiTi"/>
          <w:color w:val="000000"/>
          <w:spacing w:val="-4"/>
          <w:sz w:val="21"/>
        </w:rPr>
        <w:t xml:space="preserve">招婿需凭媒妁立婚书，写 </w:t>
      </w:r>
      <w:r>
        <w:rPr>
          <w:rFonts w:ascii="KaiTi" w:hAnsi="KaiTi" w:cs="KaiTi"/>
          <w:color w:val="000000"/>
          <w:spacing w:val="-4"/>
          <w:sz w:val="21"/>
        </w:rPr>
        <w:t>无尊长主婚时，女</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明养老或出舍年限，且独 </w:t>
      </w:r>
      <w:r>
        <w:rPr>
          <w:rFonts w:ascii="KaiTi" w:hAnsi="KaiTi" w:cs="KaiTi"/>
          <w:color w:val="000000"/>
          <w:spacing w:val="30"/>
          <w:sz w:val="21"/>
        </w:rPr>
        <w:t>子需经宗族长老</w:t>
      </w:r>
      <w:r>
        <w:rPr>
          <w:rFonts w:ascii="Times New Roman"/>
          <w:color w:val="000000"/>
          <w:spacing w:val="147"/>
          <w:sz w:val="21"/>
        </w:rPr>
        <w:t xml:space="preserve"> </w:t>
      </w:r>
      <w:r>
        <w:rPr>
          <w:rFonts w:ascii="KaiTi" w:hAnsi="KaiTi" w:cs="KaiTi"/>
          <w:color w:val="000000"/>
          <w:spacing w:val="-3"/>
          <w:sz w:val="21"/>
        </w:rPr>
        <w:t>沿用唐朝调解、告官的基</w:t>
      </w:r>
    </w:p>
    <w:p>
      <w:pPr>
        <w:spacing w:before="0" w:after="0" w:line="234" w:lineRule="exact"/>
        <w:ind w:left="1080" w:right="3955" w:firstLine="4382"/>
        <w:jc w:val="left"/>
        <w:rPr>
          <w:rFonts w:ascii="Times New Roman"/>
          <w:color w:val="000000"/>
          <w:spacing w:val="0"/>
          <w:sz w:val="21"/>
        </w:rPr>
      </w:pPr>
      <w:r>
        <w:rPr>
          <w:rFonts w:ascii="KaiTi" w:hAnsi="KaiTi" w:cs="KaiTi"/>
          <w:color w:val="000000"/>
          <w:spacing w:val="0"/>
          <w:sz w:val="21"/>
        </w:rPr>
        <w:t xml:space="preserve">子不许出赘； </w:t>
      </w:r>
      <w:r>
        <w:rPr>
          <w:rFonts w:ascii="KaiTi" w:hAnsi="KaiTi" w:cs="KaiTi"/>
          <w:color w:val="000000"/>
          <w:spacing w:val="0"/>
          <w:sz w:val="21"/>
        </w:rPr>
        <w:t>同意方可嫁娶；</w:t>
      </w:r>
      <w:r>
        <w:rPr>
          <w:rFonts w:ascii="Times New Roman"/>
          <w:color w:val="000000"/>
          <w:spacing w:val="353"/>
          <w:sz w:val="21"/>
        </w:rPr>
        <w:t xml:space="preserve"> </w:t>
      </w:r>
      <w:r>
        <w:rPr>
          <w:rFonts w:ascii="KaiTi" w:hAnsi="KaiTi" w:cs="KaiTi"/>
          <w:color w:val="000000"/>
          <w:spacing w:val="-3"/>
          <w:sz w:val="21"/>
        </w:rPr>
        <w:t>础流程，但细化了主婚人</w:t>
      </w:r>
    </w:p>
    <w:p>
      <w:pPr>
        <w:spacing w:before="0" w:after="0" w:line="234" w:lineRule="exact"/>
        <w:ind w:left="0" w:right="2954" w:firstLine="5462"/>
        <w:jc w:val="left"/>
        <w:rPr>
          <w:rFonts w:ascii="Times New Roman"/>
          <w:color w:val="000000"/>
          <w:spacing w:val="0"/>
          <w:sz w:val="21"/>
        </w:rPr>
      </w:pPr>
      <w:r>
        <w:rPr>
          <w:rFonts w:ascii="KaiTi" w:hAnsi="KaiTi" w:cs="KaiTi"/>
          <w:color w:val="000000"/>
          <w:spacing w:val="18"/>
          <w:sz w:val="21"/>
        </w:rPr>
        <w:t xml:space="preserve">赘婿不能继承妻家全部 </w:t>
      </w:r>
      <w:r>
        <w:rPr>
          <w:rFonts w:ascii="KaiTi" w:hAnsi="KaiTi" w:cs="KaiTi"/>
          <w:color w:val="000000"/>
          <w:spacing w:val="0"/>
          <w:sz w:val="21"/>
        </w:rPr>
        <w:t>《</w:t>
      </w:r>
      <w:r>
        <w:rPr>
          <w:rFonts w:ascii="Times New Roman"/>
          <w:color w:val="000000"/>
          <w:spacing w:val="59"/>
          <w:sz w:val="21"/>
        </w:rPr>
        <w:t xml:space="preserve"> </w:t>
      </w:r>
      <w:r>
        <w:rPr>
          <w:rFonts w:ascii="KaiTi" w:hAnsi="KaiTi" w:cs="KaiTi"/>
          <w:color w:val="000000"/>
          <w:spacing w:val="0"/>
          <w:sz w:val="21"/>
        </w:rPr>
        <w:t>大</w:t>
      </w:r>
      <w:r>
        <w:rPr>
          <w:rFonts w:ascii="Times New Roman"/>
          <w:color w:val="000000"/>
          <w:spacing w:val="59"/>
          <w:sz w:val="21"/>
        </w:rPr>
        <w:t xml:space="preserve"> </w:t>
      </w:r>
      <w:r>
        <w:rPr>
          <w:rFonts w:ascii="KaiTi" w:hAnsi="KaiTi" w:cs="KaiTi"/>
          <w:color w:val="000000"/>
          <w:spacing w:val="0"/>
          <w:sz w:val="21"/>
        </w:rPr>
        <w:t>明</w:t>
      </w:r>
      <w:r>
        <w:rPr>
          <w:rFonts w:ascii="Times New Roman"/>
          <w:color w:val="000000"/>
          <w:spacing w:val="176"/>
          <w:sz w:val="21"/>
        </w:rPr>
        <w:t xml:space="preserve"> </w:t>
      </w:r>
      <w:r>
        <w:rPr>
          <w:rFonts w:ascii="KaiTi" w:hAnsi="KaiTi" w:cs="KaiTi"/>
          <w:color w:val="000000"/>
          <w:spacing w:val="30"/>
          <w:sz w:val="21"/>
        </w:rPr>
        <w:t>律法严格限制卑</w:t>
      </w:r>
      <w:r>
        <w:rPr>
          <w:rFonts w:ascii="Times New Roman"/>
          <w:color w:val="000000"/>
          <w:spacing w:val="147"/>
          <w:sz w:val="21"/>
        </w:rPr>
        <w:t xml:space="preserve"> </w:t>
      </w:r>
      <w:r>
        <w:rPr>
          <w:rFonts w:ascii="KaiTi" w:hAnsi="KaiTi" w:cs="KaiTi"/>
          <w:color w:val="000000"/>
          <w:spacing w:val="-3"/>
          <w:sz w:val="21"/>
        </w:rPr>
        <w:t>责任，若嫁娶违律由祖父</w:t>
      </w:r>
    </w:p>
    <w:p>
      <w:pPr>
        <w:spacing w:before="0" w:after="0" w:line="234" w:lineRule="exact"/>
        <w:ind w:left="0" w:right="2952" w:firstLine="5462"/>
        <w:jc w:val="left"/>
        <w:rPr>
          <w:rFonts w:ascii="Times New Roman"/>
          <w:color w:val="000000"/>
          <w:spacing w:val="0"/>
          <w:sz w:val="21"/>
        </w:rPr>
      </w:pPr>
      <w:r>
        <w:rPr>
          <w:rFonts w:ascii="KaiTi" w:hAnsi="KaiTi" w:cs="KaiTi"/>
          <w:color w:val="000000"/>
          <w:spacing w:val="-4"/>
          <w:sz w:val="21"/>
        </w:rPr>
        <w:t xml:space="preserve">财产，但招养老女婿的家 </w:t>
      </w:r>
      <w:r>
        <w:rPr>
          <w:rFonts w:ascii="KaiTi" w:hAnsi="KaiTi" w:cs="KaiTi"/>
          <w:color w:val="000000"/>
          <w:spacing w:val="0"/>
          <w:sz w:val="21"/>
        </w:rPr>
        <w:t>律</w:t>
      </w:r>
      <w:r>
        <w:rPr>
          <w:rFonts w:ascii="Times New Roman"/>
          <w:color w:val="000000"/>
          <w:spacing w:val="170"/>
          <w:sz w:val="21"/>
        </w:rPr>
        <w:t xml:space="preserve"> </w:t>
      </w:r>
      <w:r>
        <w:rPr>
          <w:rFonts w:ascii="KaiTi" w:hAnsi="KaiTi" w:cs="KaiTi"/>
          <w:color w:val="000000"/>
          <w:spacing w:val="0"/>
          <w:sz w:val="21"/>
        </w:rPr>
        <w:t>·户</w:t>
      </w:r>
      <w:r>
        <w:rPr>
          <w:rFonts w:ascii="Times New Roman"/>
          <w:color w:val="000000"/>
          <w:spacing w:val="176"/>
          <w:sz w:val="21"/>
        </w:rPr>
        <w:t xml:space="preserve"> </w:t>
      </w:r>
      <w:r>
        <w:rPr>
          <w:rFonts w:ascii="KaiTi" w:hAnsi="KaiTi" w:cs="KaiTi"/>
          <w:color w:val="000000"/>
          <w:spacing w:val="-4"/>
          <w:sz w:val="21"/>
        </w:rPr>
        <w:t>幼擅自婚配，若卑</w:t>
      </w:r>
      <w:r>
        <w:rPr>
          <w:rFonts w:ascii="Times New Roman"/>
          <w:color w:val="000000"/>
          <w:spacing w:val="179"/>
          <w:sz w:val="21"/>
        </w:rPr>
        <w:t xml:space="preserve"> </w:t>
      </w:r>
      <w:r>
        <w:rPr>
          <w:rFonts w:ascii="KaiTi" w:hAnsi="KaiTi" w:cs="KaiTi"/>
          <w:color w:val="000000"/>
          <w:spacing w:val="-3"/>
          <w:sz w:val="21"/>
        </w:rPr>
        <w:t>母等尊长主婚的，独坐主</w:t>
      </w:r>
    </w:p>
    <w:p>
      <w:pPr>
        <w:spacing w:before="0" w:after="0" w:line="234" w:lineRule="exact"/>
        <w:ind w:left="0" w:right="2952" w:firstLine="5462"/>
        <w:jc w:val="left"/>
        <w:rPr>
          <w:rFonts w:ascii="Times New Roman"/>
          <w:color w:val="000000"/>
          <w:spacing w:val="0"/>
          <w:sz w:val="21"/>
        </w:rPr>
      </w:pPr>
      <w:r>
        <w:rPr>
          <w:rFonts w:ascii="KaiTi" w:hAnsi="KaiTi" w:cs="KaiTi"/>
          <w:color w:val="000000"/>
          <w:spacing w:val="-4"/>
          <w:sz w:val="21"/>
        </w:rPr>
        <w:t xml:space="preserve">庭，赘婿可与同宗应继者 </w:t>
      </w:r>
      <w:r>
        <w:rPr>
          <w:rFonts w:ascii="KaiTi" w:hAnsi="KaiTi" w:cs="KaiTi"/>
          <w:color w:val="000000"/>
          <w:spacing w:val="0"/>
          <w:sz w:val="21"/>
        </w:rPr>
        <w:t>律》</w:t>
      </w:r>
      <w:r>
        <w:rPr>
          <w:rFonts w:ascii="Times New Roman"/>
          <w:color w:val="000000"/>
          <w:spacing w:val="608"/>
          <w:sz w:val="21"/>
        </w:rPr>
        <w:t xml:space="preserve"> </w:t>
      </w:r>
      <w:r>
        <w:rPr>
          <w:rFonts w:ascii="KaiTi" w:hAnsi="KaiTi" w:cs="KaiTi"/>
          <w:color w:val="000000"/>
          <w:spacing w:val="0"/>
          <w:sz w:val="21"/>
        </w:rPr>
        <w:t>幼</w:t>
      </w:r>
      <w:r>
        <w:rPr>
          <w:rFonts w:ascii="Times New Roman"/>
          <w:color w:val="000000"/>
          <w:spacing w:val="25"/>
          <w:sz w:val="21"/>
        </w:rPr>
        <w:t xml:space="preserve"> </w:t>
      </w:r>
      <w:r>
        <w:rPr>
          <w:rFonts w:ascii="KaiTi" w:hAnsi="KaiTi" w:cs="KaiTi"/>
          <w:color w:val="000000"/>
          <w:spacing w:val="0"/>
          <w:sz w:val="21"/>
        </w:rPr>
        <w:t>在</w:t>
      </w:r>
      <w:r>
        <w:rPr>
          <w:rFonts w:ascii="Times New Roman"/>
          <w:color w:val="000000"/>
          <w:spacing w:val="25"/>
          <w:sz w:val="21"/>
        </w:rPr>
        <w:t xml:space="preserve"> </w:t>
      </w:r>
      <w:r>
        <w:rPr>
          <w:rFonts w:ascii="KaiTi" w:hAnsi="KaiTi" w:cs="KaiTi"/>
          <w:color w:val="000000"/>
          <w:spacing w:val="0"/>
          <w:sz w:val="21"/>
        </w:rPr>
        <w:t>外</w:t>
      </w:r>
      <w:r>
        <w:rPr>
          <w:rFonts w:ascii="Times New Roman"/>
          <w:color w:val="000000"/>
          <w:spacing w:val="25"/>
          <w:sz w:val="21"/>
        </w:rPr>
        <w:t xml:space="preserve"> </w:t>
      </w:r>
      <w:r>
        <w:rPr>
          <w:rFonts w:ascii="KaiTi" w:hAnsi="KaiTi" w:cs="KaiTi"/>
          <w:color w:val="000000"/>
          <w:spacing w:val="0"/>
          <w:sz w:val="21"/>
        </w:rPr>
        <w:t>自</w:t>
      </w:r>
      <w:r>
        <w:rPr>
          <w:rFonts w:ascii="Times New Roman"/>
          <w:color w:val="000000"/>
          <w:spacing w:val="25"/>
          <w:sz w:val="21"/>
        </w:rPr>
        <w:t xml:space="preserve"> </w:t>
      </w:r>
      <w:r>
        <w:rPr>
          <w:rFonts w:ascii="KaiTi" w:hAnsi="KaiTi" w:cs="KaiTi"/>
          <w:color w:val="000000"/>
          <w:spacing w:val="0"/>
          <w:sz w:val="21"/>
        </w:rPr>
        <w:t>行</w:t>
      </w:r>
      <w:r>
        <w:rPr>
          <w:rFonts w:ascii="Times New Roman"/>
          <w:color w:val="000000"/>
          <w:spacing w:val="25"/>
          <w:sz w:val="21"/>
        </w:rPr>
        <w:t xml:space="preserve"> </w:t>
      </w:r>
      <w:r>
        <w:rPr>
          <w:rFonts w:ascii="KaiTi" w:hAnsi="KaiTi" w:cs="KaiTi"/>
          <w:color w:val="000000"/>
          <w:spacing w:val="0"/>
          <w:sz w:val="21"/>
        </w:rPr>
        <w:t>娶</w:t>
      </w:r>
      <w:r>
        <w:rPr>
          <w:rFonts w:ascii="Times New Roman"/>
          <w:color w:val="000000"/>
          <w:spacing w:val="176"/>
          <w:sz w:val="21"/>
        </w:rPr>
        <w:t xml:space="preserve"> </w:t>
      </w:r>
      <w:r>
        <w:rPr>
          <w:rFonts w:ascii="KaiTi" w:hAnsi="KaiTi" w:cs="KaiTi"/>
          <w:color w:val="000000"/>
          <w:spacing w:val="-3"/>
          <w:sz w:val="21"/>
        </w:rPr>
        <w:t>婚人罪责；同时明确夫妻</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均分家产。严禁典雇妻女 </w:t>
      </w:r>
      <w:r>
        <w:rPr>
          <w:rFonts w:ascii="KaiTi" w:hAnsi="KaiTi" w:cs="KaiTi"/>
          <w:color w:val="000000"/>
          <w:spacing w:val="-4"/>
          <w:sz w:val="21"/>
        </w:rPr>
        <w:t>妻，未成婚者需遵</w:t>
      </w:r>
      <w:r>
        <w:rPr>
          <w:rFonts w:ascii="Times New Roman"/>
          <w:color w:val="000000"/>
          <w:spacing w:val="179"/>
          <w:sz w:val="21"/>
        </w:rPr>
        <w:t xml:space="preserve"> </w:t>
      </w:r>
      <w:r>
        <w:rPr>
          <w:rFonts w:ascii="KaiTi" w:hAnsi="KaiTi" w:cs="KaiTi"/>
          <w:color w:val="000000"/>
          <w:spacing w:val="0"/>
          <w:sz w:val="21"/>
        </w:rPr>
        <w:t>若</w:t>
      </w:r>
      <w:r>
        <w:rPr>
          <w:rFonts w:ascii="Times New Roman"/>
          <w:color w:val="000000"/>
          <w:spacing w:val="-4"/>
          <w:sz w:val="21"/>
        </w:rPr>
        <w:t xml:space="preserve"> </w:t>
      </w:r>
      <w:r>
        <w:rPr>
          <w:rFonts w:ascii="KaiTi" w:hAnsi="KaiTi" w:cs="KaiTi"/>
          <w:color w:val="000000"/>
          <w:spacing w:val="0"/>
          <w:sz w:val="21"/>
        </w:rPr>
        <w:t>犯</w:t>
      </w:r>
      <w:r>
        <w:rPr>
          <w:rFonts w:ascii="Times New Roman"/>
          <w:color w:val="000000"/>
          <w:spacing w:val="-4"/>
          <w:sz w:val="21"/>
        </w:rPr>
        <w:t xml:space="preserve"> </w:t>
      </w:r>
      <w:r>
        <w:rPr>
          <w:rFonts w:ascii="KaiTi" w:hAnsi="KaiTi" w:cs="KaiTi"/>
          <w:color w:val="000000"/>
          <w:spacing w:val="0"/>
          <w:sz w:val="21"/>
        </w:rPr>
        <w:t>义</w:t>
      </w:r>
      <w:r>
        <w:rPr>
          <w:rFonts w:ascii="Times New Roman"/>
          <w:color w:val="000000"/>
          <w:spacing w:val="-4"/>
          <w:sz w:val="21"/>
        </w:rPr>
        <w:t xml:space="preserve"> </w:t>
      </w:r>
      <w:r>
        <w:rPr>
          <w:rFonts w:ascii="KaiTi" w:hAnsi="KaiTi" w:cs="KaiTi"/>
          <w:color w:val="000000"/>
          <w:spacing w:val="0"/>
          <w:sz w:val="21"/>
        </w:rPr>
        <w:t>绝</w:t>
      </w:r>
      <w:r>
        <w:rPr>
          <w:rFonts w:ascii="Times New Roman"/>
          <w:color w:val="000000"/>
          <w:spacing w:val="-4"/>
          <w:sz w:val="21"/>
        </w:rPr>
        <w:t xml:space="preserve"> </w:t>
      </w:r>
      <w:r>
        <w:rPr>
          <w:rFonts w:ascii="KaiTi" w:hAnsi="KaiTi" w:cs="KaiTi"/>
          <w:color w:val="000000"/>
          <w:spacing w:val="0"/>
          <w:sz w:val="21"/>
        </w:rPr>
        <w:t>应</w:t>
      </w:r>
      <w:r>
        <w:rPr>
          <w:rFonts w:ascii="Times New Roman"/>
          <w:color w:val="000000"/>
          <w:spacing w:val="-4"/>
          <w:sz w:val="21"/>
        </w:rPr>
        <w:t xml:space="preserve"> </w:t>
      </w:r>
      <w:r>
        <w:rPr>
          <w:rFonts w:ascii="KaiTi" w:hAnsi="KaiTi" w:cs="KaiTi"/>
          <w:color w:val="000000"/>
          <w:spacing w:val="0"/>
          <w:sz w:val="21"/>
        </w:rPr>
        <w:t>离</w:t>
      </w:r>
      <w:r>
        <w:rPr>
          <w:rFonts w:ascii="Times New Roman"/>
          <w:color w:val="000000"/>
          <w:spacing w:val="-4"/>
          <w:sz w:val="21"/>
        </w:rPr>
        <w:t xml:space="preserve"> </w:t>
      </w:r>
      <w:r>
        <w:rPr>
          <w:rFonts w:ascii="KaiTi" w:hAnsi="KaiTi" w:cs="KaiTi"/>
          <w:color w:val="000000"/>
          <w:spacing w:val="0"/>
          <w:sz w:val="21"/>
        </w:rPr>
        <w:t>而</w:t>
      </w:r>
      <w:r>
        <w:rPr>
          <w:rFonts w:ascii="Times New Roman"/>
          <w:color w:val="000000"/>
          <w:spacing w:val="-4"/>
          <w:sz w:val="21"/>
        </w:rPr>
        <w:t xml:space="preserve"> </w:t>
      </w:r>
      <w:r>
        <w:rPr>
          <w:rFonts w:ascii="KaiTi" w:hAnsi="KaiTi" w:cs="KaiTi"/>
          <w:color w:val="000000"/>
          <w:spacing w:val="0"/>
          <w:sz w:val="21"/>
        </w:rPr>
        <w:t>不</w:t>
      </w:r>
      <w:r>
        <w:rPr>
          <w:rFonts w:ascii="Times New Roman"/>
          <w:color w:val="000000"/>
          <w:spacing w:val="-4"/>
          <w:sz w:val="21"/>
        </w:rPr>
        <w:t xml:space="preserve"> </w:t>
      </w:r>
      <w:r>
        <w:rPr>
          <w:rFonts w:ascii="KaiTi" w:hAnsi="KaiTi" w:cs="KaiTi"/>
          <w:color w:val="000000"/>
          <w:spacing w:val="0"/>
          <w:sz w:val="21"/>
        </w:rPr>
        <w:t>离</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为妻妾，违者受杖刑且需 </w:t>
      </w:r>
      <w:r>
        <w:rPr>
          <w:rFonts w:ascii="KaiTi" w:hAnsi="KaiTi" w:cs="KaiTi"/>
          <w:color w:val="000000"/>
          <w:spacing w:val="0"/>
          <w:sz w:val="21"/>
        </w:rPr>
        <w:t>从</w:t>
      </w:r>
      <w:r>
        <w:rPr>
          <w:rFonts w:ascii="Times New Roman"/>
          <w:color w:val="000000"/>
          <w:spacing w:val="25"/>
          <w:sz w:val="21"/>
        </w:rPr>
        <w:t xml:space="preserve"> </w:t>
      </w:r>
      <w:r>
        <w:rPr>
          <w:rFonts w:ascii="KaiTi" w:hAnsi="KaiTi" w:cs="KaiTi"/>
          <w:color w:val="000000"/>
          <w:spacing w:val="0"/>
          <w:sz w:val="21"/>
        </w:rPr>
        <w:t>尊</w:t>
      </w:r>
      <w:r>
        <w:rPr>
          <w:rFonts w:ascii="Times New Roman"/>
          <w:color w:val="000000"/>
          <w:spacing w:val="25"/>
          <w:sz w:val="21"/>
        </w:rPr>
        <w:t xml:space="preserve"> </w:t>
      </w:r>
      <w:r>
        <w:rPr>
          <w:rFonts w:ascii="KaiTi" w:hAnsi="KaiTi" w:cs="KaiTi"/>
          <w:color w:val="000000"/>
          <w:spacing w:val="0"/>
          <w:sz w:val="21"/>
        </w:rPr>
        <w:t>长</w:t>
      </w:r>
      <w:r>
        <w:rPr>
          <w:rFonts w:ascii="Times New Roman"/>
          <w:color w:val="000000"/>
          <w:spacing w:val="25"/>
          <w:sz w:val="21"/>
        </w:rPr>
        <w:t xml:space="preserve"> </w:t>
      </w:r>
      <w:r>
        <w:rPr>
          <w:rFonts w:ascii="KaiTi" w:hAnsi="KaiTi" w:cs="KaiTi"/>
          <w:color w:val="000000"/>
          <w:spacing w:val="0"/>
          <w:sz w:val="21"/>
        </w:rPr>
        <w:t>所</w:t>
      </w:r>
      <w:r>
        <w:rPr>
          <w:rFonts w:ascii="Times New Roman"/>
          <w:color w:val="000000"/>
          <w:spacing w:val="25"/>
          <w:sz w:val="21"/>
        </w:rPr>
        <w:t xml:space="preserve"> </w:t>
      </w:r>
      <w:r>
        <w:rPr>
          <w:rFonts w:ascii="KaiTi" w:hAnsi="KaiTi" w:cs="KaiTi"/>
          <w:color w:val="000000"/>
          <w:spacing w:val="0"/>
          <w:sz w:val="21"/>
        </w:rPr>
        <w:t>定</w:t>
      </w:r>
      <w:r>
        <w:rPr>
          <w:rFonts w:ascii="Times New Roman"/>
          <w:color w:val="000000"/>
          <w:spacing w:val="25"/>
          <w:sz w:val="21"/>
        </w:rPr>
        <w:t xml:space="preserve"> </w:t>
      </w:r>
      <w:r>
        <w:rPr>
          <w:rFonts w:ascii="KaiTi" w:hAnsi="KaiTi" w:cs="KaiTi"/>
          <w:color w:val="000000"/>
          <w:spacing w:val="0"/>
          <w:sz w:val="21"/>
        </w:rPr>
        <w:t>婚</w:t>
      </w:r>
      <w:r>
        <w:rPr>
          <w:rFonts w:ascii="Times New Roman"/>
          <w:color w:val="000000"/>
          <w:spacing w:val="176"/>
          <w:sz w:val="21"/>
        </w:rPr>
        <w:t xml:space="preserve"> </w:t>
      </w:r>
      <w:r>
        <w:rPr>
          <w:rFonts w:ascii="KaiTi" w:hAnsi="KaiTi" w:cs="KaiTi"/>
          <w:color w:val="000000"/>
          <w:spacing w:val="0"/>
          <w:sz w:val="21"/>
        </w:rPr>
        <w:t>者，杖八十</w:t>
      </w:r>
    </w:p>
    <w:p>
      <w:pPr>
        <w:spacing w:before="0" w:after="0" w:line="234" w:lineRule="exact"/>
        <w:ind w:left="1080" w:right="2952" w:firstLine="4382"/>
        <w:jc w:val="left"/>
        <w:rPr>
          <w:rFonts w:ascii="Times New Roman"/>
          <w:color w:val="000000"/>
          <w:spacing w:val="0"/>
          <w:sz w:val="21"/>
        </w:rPr>
      </w:pPr>
      <w:r>
        <w:rPr>
          <w:rFonts w:ascii="KaiTi" w:hAnsi="KaiTi" w:cs="KaiTi"/>
          <w:color w:val="000000"/>
          <w:spacing w:val="-4"/>
          <w:sz w:val="21"/>
        </w:rPr>
        <w:t xml:space="preserve">强制离异；明令禁止指腹 </w:t>
      </w:r>
      <w:r>
        <w:rPr>
          <w:rFonts w:ascii="KaiTi" w:hAnsi="KaiTi" w:cs="KaiTi"/>
          <w:color w:val="000000"/>
          <w:spacing w:val="0"/>
          <w:sz w:val="21"/>
        </w:rPr>
        <w:t>约，违者杖八十</w:t>
      </w:r>
    </w:p>
    <w:p>
      <w:pPr>
        <w:spacing w:before="14" w:after="0" w:line="220" w:lineRule="exact"/>
        <w:ind w:left="5462" w:right="0" w:firstLine="0"/>
        <w:jc w:val="left"/>
        <w:rPr>
          <w:rFonts w:ascii="Times New Roman"/>
          <w:color w:val="000000"/>
          <w:spacing w:val="0"/>
          <w:sz w:val="21"/>
        </w:rPr>
      </w:pPr>
      <w:r>
        <w:rPr>
          <w:rFonts w:ascii="KaiTi" w:hAnsi="KaiTi" w:cs="KaiTi"/>
          <w:color w:val="000000"/>
          <w:spacing w:val="0"/>
          <w:sz w:val="21"/>
        </w:rPr>
        <w:t>婚、割襟为亲等行为</w:t>
      </w:r>
    </w:p>
    <w:p>
      <w:pPr>
        <w:spacing w:before="338" w:after="0" w:line="220" w:lineRule="exact"/>
        <w:ind w:left="420" w:right="0" w:firstLine="0"/>
        <w:jc w:val="left"/>
        <w:rPr>
          <w:rFonts w:ascii="Times New Roman"/>
          <w:color w:val="000000"/>
          <w:spacing w:val="0"/>
          <w:sz w:val="21"/>
        </w:rPr>
      </w:pPr>
      <w:r>
        <w:rPr>
          <w:rFonts w:ascii="KaiTi" w:hAnsi="KaiTi" w:cs="KaiTi"/>
          <w:color w:val="000000"/>
          <w:spacing w:val="-3"/>
          <w:sz w:val="21"/>
        </w:rPr>
        <w:t>注：“七出”指的是不顺父母、无子、淫、妒、有恶疾、口多言、窃盗。</w:t>
      </w:r>
    </w:p>
    <w:p>
      <w:pPr>
        <w:spacing w:before="248" w:after="0" w:line="220" w:lineRule="exact"/>
        <w:ind w:left="420" w:right="0" w:firstLine="0"/>
        <w:jc w:val="left"/>
        <w:rPr>
          <w:rFonts w:ascii="Times New Roman"/>
          <w:color w:val="000000"/>
          <w:spacing w:val="0"/>
          <w:sz w:val="21"/>
        </w:rPr>
      </w:pPr>
      <w:r>
        <w:rPr>
          <w:rFonts w:ascii="KaiTi" w:hAnsi="KaiTi" w:cs="KaiTi"/>
          <w:color w:val="000000"/>
          <w:spacing w:val="-5"/>
          <w:sz w:val="21"/>
        </w:rPr>
        <w:t>“三不去”指的是有所取无所归（妻子无家可归）、与更三年丧（曾为公婆守孝三年）、前贫贱后富贵</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6"/>
          <w:sz w:val="21"/>
        </w:rPr>
        <w:t>（男方娶妻时贫贱，欲休妻时富贵）。</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）根据材料，概括唐代至明代婚姻律法演变的主要特点。</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2"/>
          <w:sz w:val="21"/>
        </w:rPr>
        <w:t>）有学者认为，“古代婚姻立法，与当时的政治、经济和文化发展状态密切相关”。结合材料和所学知</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识，评析这一观点。</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237" w:after="0" w:line="220" w:lineRule="exact"/>
        <w:ind w:left="450" w:right="0" w:firstLine="0"/>
        <w:jc w:val="left"/>
        <w:rPr>
          <w:rFonts w:ascii="Times New Roman"/>
          <w:color w:val="000000"/>
          <w:spacing w:val="0"/>
          <w:sz w:val="21"/>
        </w:rPr>
      </w:pPr>
      <w:r>
        <w:rPr>
          <w:rFonts w:ascii="KaiTi" w:hAnsi="KaiTi" w:cs="KaiTi"/>
          <w:color w:val="000000"/>
          <w:spacing w:val="1"/>
          <w:sz w:val="21"/>
        </w:rPr>
        <w:t>材料</w:t>
      </w:r>
      <w:r>
        <w:rPr>
          <w:rFonts w:ascii="Times New Roman"/>
          <w:color w:val="000000"/>
          <w:spacing w:val="160"/>
          <w:sz w:val="21"/>
        </w:rPr>
        <w:t xml:space="preserve"> </w:t>
      </w:r>
      <w:r>
        <w:rPr>
          <w:rFonts w:ascii="KaiTi" w:hAnsi="KaiTi" w:cs="KaiTi"/>
          <w:color w:val="000000"/>
          <w:spacing w:val="1"/>
          <w:sz w:val="21"/>
        </w:rPr>
        <w:t>中华民族凝聚力的形成，是不同历史阶段核心力量推动与时代需求共振的结果：秦汉时期，大</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一统政权通过确立“中国”正统认同、构建“炎黄子孙”血统体系，将中原与边缘族群纳入共同文化框架，</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初步凝聚族群向心力；近代以来，面对列强侵略，太平天国运动的跨族群协作、“五族共和”理念的提出，</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尤其是抗日战争中汉、满、蒙、回、藏等各族民众的并肩抗争，让“中华民族”从文化认同升华为命运共</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同体认同；新中国成立后，民族区域自治制度保障了各民族平等权利，西部大开发战略助力民族地区发展，</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在“共同繁荣”目标下，中华民族凝聚力进一步强化，形成“多元一体”的稳固格局。</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3"/>
          <w:sz w:val="21"/>
        </w:rPr>
        <w:t>——摘编自《中外历史纲要》、费孝通《中华民族多元一体格局》及习近平总书记关于民族团结进步的重要</w:t>
      </w:r>
    </w:p>
    <w:p>
      <w:pPr>
        <w:spacing w:before="248" w:after="0" w:line="220" w:lineRule="exact"/>
        <w:ind w:left="9330" w:right="0" w:firstLine="0"/>
        <w:jc w:val="left"/>
        <w:rPr>
          <w:rFonts w:ascii="Times New Roman"/>
          <w:color w:val="000000"/>
          <w:spacing w:val="0"/>
          <w:sz w:val="21"/>
        </w:rPr>
      </w:pPr>
      <w:r>
        <w:rPr>
          <w:rFonts w:ascii="KaiTi" w:hAnsi="KaiTi" w:cs="KaiTi"/>
          <w:color w:val="000000"/>
          <w:spacing w:val="0"/>
          <w:sz w:val="21"/>
        </w:rPr>
        <w:t>论述</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2"/>
          <w:sz w:val="21"/>
        </w:rPr>
        <w:t>根据材料并结合所学知识，围绕“中华民族凝聚力的发展动力”这一主题，自拟论题，并进行阐述。（要求：</w:t>
      </w:r>
    </w:p>
    <w:p>
      <w:pPr>
        <w:spacing w:before="248" w:after="0" w:line="220" w:lineRule="exact"/>
        <w:ind w:left="0" w:right="0" w:firstLine="0"/>
        <w:jc w:val="left"/>
        <w:rPr>
          <w:rFonts w:ascii="Times New Roman"/>
          <w:color w:val="000000"/>
          <w:spacing w:val="0"/>
          <w:sz w:val="21"/>
        </w:rPr>
      </w:pPr>
      <w:r>
        <w:rPr>
          <w:rFonts w:ascii="SimSun" w:hAnsi="SimSun" w:cs="SimSun"/>
          <w:color w:val="000000"/>
          <w:spacing w:val="0"/>
          <w:sz w:val="21"/>
        </w:rPr>
        <w:t>观点正确，史论结合，条理清晰，表述成文）</w:t>
      </w:r>
    </w:p>
    <w:p>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SimSun" w:hAnsi="SimSun" w:cs="SimSun"/>
          <w:color w:val="000000"/>
          <w:spacing w:val="0"/>
          <w:sz w:val="21"/>
        </w:rPr>
        <w:t>阅读材料，完成下列要求。</w:t>
      </w:r>
    </w:p>
    <w:p>
      <w:pPr>
        <w:spacing w:before="237" w:after="0" w:line="220" w:lineRule="exact"/>
        <w:ind w:left="450" w:right="0" w:firstLine="0"/>
        <w:jc w:val="left"/>
        <w:rPr>
          <w:rFonts w:ascii="Times New Roman"/>
          <w:color w:val="000000"/>
          <w:spacing w:val="0"/>
          <w:sz w:val="21"/>
        </w:rPr>
      </w:pPr>
      <w:r>
        <w:rPr>
          <w:rFonts w:ascii="KaiTi" w:hAnsi="KaiTi" w:cs="KaiTi"/>
          <w:color w:val="000000"/>
          <w:spacing w:val="0"/>
          <w:sz w:val="21"/>
        </w:rPr>
        <w:t>材料一</w:t>
      </w:r>
      <w:r>
        <w:rPr>
          <w:rFonts w:ascii="Times New Roman"/>
          <w:color w:val="000000"/>
          <w:spacing w:val="158"/>
          <w:sz w:val="21"/>
        </w:rPr>
        <w:t xml:space="preserve"> </w:t>
      </w:r>
      <w:r>
        <w:rPr>
          <w:rFonts w:ascii="KaiTi" w:hAnsi="KaiTi" w:cs="KaiTi"/>
          <w:color w:val="000000"/>
          <w:spacing w:val="0"/>
          <w:sz w:val="21"/>
        </w:rPr>
        <w:t>为对抗诺曼人入侵，阿莱克修斯一世（1081—1118</w:t>
      </w:r>
      <w:r>
        <w:rPr>
          <w:rFonts w:ascii="Times New Roman"/>
          <w:color w:val="000000"/>
          <w:spacing w:val="0"/>
          <w:sz w:val="21"/>
        </w:rPr>
        <w:t xml:space="preserve"> </w:t>
      </w:r>
      <w:r>
        <w:rPr>
          <w:rFonts w:ascii="KaiTi" w:hAnsi="KaiTi" w:cs="KaiTi"/>
          <w:color w:val="000000"/>
          <w:spacing w:val="0"/>
          <w:sz w:val="21"/>
        </w:rPr>
        <w:t>年在位）授予威尼斯商人免税权、领土管</w:t>
      </w:r>
    </w:p>
    <w:p>
      <w:pPr>
        <w:spacing w:before="408"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6</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p>
      <w:pPr>
        <w:spacing w:before="0" w:after="0" w:line="0" w:lineRule="atLeast"/>
        <w:ind w:left="0" w:right="0" w:firstLine="0"/>
        <w:jc w:val="left"/>
        <w:rPr>
          <w:rFonts w:ascii="Arial"/>
          <w:color w:val="FF0000"/>
          <w:spacing w:val="0"/>
          <w:sz w:val="2"/>
        </w:rPr>
      </w:pPr>
    </w:p>
    <w:p>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pPr>
        <w:pStyle w:val="NoList"/>
        <w:sectPr>
          <w:pgSz w:w="11900" w:h="16840"/>
          <w:pgMar w:top="1542" w:right="100" w:bottom="0" w:left="1080" w:header="720" w:footer="720" w:gutter="0"/>
          <w:pgNumType w:start="1"/>
          <w:cols w:sep="0" w:space="720"/>
          <w:docGrid w:linePitch="1"/>
        </w:sectPr>
      </w:pPr>
    </w:p>
    <w:p>
      <w:pPr>
        <w:spacing w:before="0" w:after="0" w:line="0" w:lineRule="atLeast"/>
        <w:ind w:left="0" w:right="0" w:firstLine="0"/>
        <w:jc w:val="left"/>
        <w:rPr>
          <w:rFonts w:ascii="Arial"/>
          <w:color w:val="FF0000"/>
          <w:spacing w:val="0"/>
          <w:sz w:val="2"/>
        </w:rPr>
      </w:pPr>
    </w:p>
    <w:p>
      <w:pPr>
        <w:spacing w:before="0" w:after="0" w:line="220" w:lineRule="exact"/>
        <w:ind w:left="0" w:right="0" w:firstLine="0"/>
        <w:jc w:val="left"/>
        <w:rPr>
          <w:rFonts w:ascii="Times New Roman"/>
          <w:color w:val="000000"/>
          <w:spacing w:val="0"/>
          <w:sz w:val="21"/>
        </w:rPr>
      </w:pPr>
      <w:bookmarkStart w:id="6" w:name="br7"/>
      <w:bookmarkEnd w:id="6"/>
      <w:r>
        <w:rPr>
          <w:noProof/>
        </w:rPr>
        <w:pict>
          <v:shape id="_x0000_s1049" type="#_x0000_t75" style="width:2.75pt;height:2.75pt;margin-top:72.55pt;margin-left:404.15pt;mso-position-horizontal-relative:page;mso-position-vertical-relative:page;position:absolute;z-index:-251656192">
            <v:imagedata r:id="rId4" o:title=""/>
          </v:shape>
        </w:pict>
      </w:r>
      <w:r>
        <w:rPr>
          <w:noProof/>
        </w:rPr>
        <w:pict>
          <v:shape id="_x0000_s1050" type="#_x0000_t75" style="width:5pt;height:5.75pt;margin-top:473.3pt;margin-left:212.1pt;mso-position-horizontal-relative:page;mso-position-vertical-relative:page;position:absolute;z-index:-251657216">
            <v:imagedata r:id="rId5" o:title=""/>
          </v:shape>
        </w:pict>
      </w:r>
      <w:r>
        <w:rPr>
          <w:noProof/>
        </w:rPr>
        <w:pict>
          <v:shape id="_x0000_s1051" type="#_x0000_t75" style="width:2.75pt;height:2.75pt;margin-top:769.7pt;margin-left:116.8pt;mso-position-horizontal-relative:page;mso-position-vertical-relative:page;position:absolute;z-index:-251658240">
            <v:imagedata r:id="rId18" o:title=""/>
          </v:shape>
        </w:pict>
      </w:r>
      <w:r>
        <w:rPr>
          <w:rFonts w:ascii="KaiTi" w:hAnsi="KaiTi" w:cs="KaiTi"/>
          <w:color w:val="000000"/>
          <w:spacing w:val="-3"/>
          <w:sz w:val="21"/>
        </w:rPr>
        <w:t>辖权（如第拉修姆教堂控制权）、威尼斯总督“首席大贵族”头衔等特权，甚至允许威尼斯在君士坦丁堡划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定专属商业区。这一决策短期内缓解了西部边疆危机，但导致拜占庭对威尼斯的经济与军事依赖。</w:t>
      </w:r>
    </w:p>
    <w:p>
      <w:pPr>
        <w:spacing w:before="248" w:after="0" w:line="220" w:lineRule="exact"/>
        <w:ind w:left="2397" w:right="0" w:firstLine="0"/>
        <w:jc w:val="left"/>
        <w:rPr>
          <w:rFonts w:ascii="Times New Roman"/>
          <w:color w:val="000000"/>
          <w:spacing w:val="0"/>
          <w:sz w:val="21"/>
        </w:rPr>
      </w:pPr>
      <w:r>
        <w:rPr>
          <w:rFonts w:ascii="KaiTi" w:hAnsi="KaiTi" w:cs="KaiTi"/>
          <w:color w:val="000000"/>
          <w:spacing w:val="0"/>
          <w:sz w:val="21"/>
        </w:rPr>
        <w:t>——摘编自蒙晨晨《拜占庭皇帝阿莱克修斯一世授予威尼斯〈金玺诏书〉再考》</w:t>
      </w:r>
    </w:p>
    <w:p>
      <w:pPr>
        <w:spacing w:before="248" w:after="0" w:line="220" w:lineRule="exact"/>
        <w:ind w:left="450" w:right="0" w:firstLine="0"/>
        <w:jc w:val="left"/>
        <w:rPr>
          <w:rFonts w:ascii="Times New Roman"/>
          <w:color w:val="000000"/>
          <w:spacing w:val="0"/>
          <w:sz w:val="21"/>
        </w:rPr>
      </w:pPr>
      <w:r>
        <w:rPr>
          <w:rFonts w:ascii="KaiTi" w:hAnsi="KaiTi" w:cs="KaiTi"/>
          <w:color w:val="000000"/>
          <w:spacing w:val="0"/>
          <w:sz w:val="21"/>
        </w:rPr>
        <w:t>材料二</w:t>
      </w:r>
      <w:r>
        <w:rPr>
          <w:rFonts w:ascii="Times New Roman"/>
          <w:color w:val="000000"/>
          <w:spacing w:val="158"/>
          <w:sz w:val="21"/>
        </w:rPr>
        <w:t xml:space="preserve"> </w:t>
      </w:r>
      <w:r>
        <w:rPr>
          <w:rFonts w:ascii="KaiTi"/>
          <w:color w:val="000000"/>
          <w:spacing w:val="0"/>
          <w:sz w:val="21"/>
        </w:rPr>
        <w:t>19</w:t>
      </w:r>
      <w:r>
        <w:rPr>
          <w:rFonts w:ascii="Times New Roman"/>
          <w:color w:val="000000"/>
          <w:spacing w:val="-2"/>
          <w:sz w:val="21"/>
        </w:rPr>
        <w:t xml:space="preserve"> </w:t>
      </w:r>
      <w:r>
        <w:rPr>
          <w:rFonts w:ascii="KaiTi" w:hAnsi="KaiTi" w:cs="KaiTi"/>
          <w:color w:val="000000"/>
          <w:spacing w:val="-1"/>
          <w:sz w:val="21"/>
        </w:rPr>
        <w:t>世纪中期，英国工业城市快速扩张，贫富分化加剧，基层治理面临严峻挑战。1835</w:t>
      </w:r>
      <w:r>
        <w:rPr>
          <w:rFonts w:ascii="Times New Roman"/>
          <w:color w:val="000000"/>
          <w:spacing w:val="-1"/>
          <w:sz w:val="21"/>
        </w:rPr>
        <w:t xml:space="preserve"> </w:t>
      </w:r>
      <w:r>
        <w:rPr>
          <w:rFonts w:ascii="KaiTi" w:hAnsi="KaiTi" w:cs="KaiTi"/>
          <w:color w:val="000000"/>
          <w:spacing w:val="-4"/>
          <w:sz w:val="21"/>
        </w:rPr>
        <w:t>年《市</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政法案》规定，取消地方治安法官的部分行政权力，授权城市选举产生的市议会负责道路、排水、卫生等</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公共事务；1870</w:t>
      </w:r>
      <w:r>
        <w:rPr>
          <w:rFonts w:ascii="Times New Roman"/>
          <w:color w:val="000000"/>
          <w:spacing w:val="0"/>
          <w:sz w:val="21"/>
        </w:rPr>
        <w:t xml:space="preserve"> </w:t>
      </w:r>
      <w:r>
        <w:rPr>
          <w:rFonts w:ascii="KaiTi" w:hAnsi="KaiTi" w:cs="KaiTi"/>
          <w:color w:val="000000"/>
          <w:spacing w:val="0"/>
          <w:sz w:val="21"/>
        </w:rPr>
        <w:t>年《教育法》赋予地方委员会管理教育的权力，推动公共教育普及。同时，慈善组织、教</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会等民间力量积极参与贫困救济、卫生改善等基层事务，形成了官方治理与民间参与结合的基层治理模式。</w:t>
      </w:r>
    </w:p>
    <w:p>
      <w:pPr>
        <w:spacing w:before="248" w:after="0" w:line="220" w:lineRule="exact"/>
        <w:ind w:left="6809" w:right="0" w:firstLine="0"/>
        <w:jc w:val="left"/>
        <w:rPr>
          <w:rFonts w:ascii="Times New Roman"/>
          <w:color w:val="000000"/>
          <w:spacing w:val="0"/>
          <w:sz w:val="21"/>
        </w:rPr>
      </w:pPr>
      <w:r>
        <w:rPr>
          <w:rFonts w:ascii="KaiTi" w:hAnsi="KaiTi" w:cs="KaiTi"/>
          <w:color w:val="000000"/>
          <w:spacing w:val="0"/>
          <w:sz w:val="21"/>
        </w:rPr>
        <w:t>——摘编自钱乘旦《英国通史》</w:t>
      </w:r>
    </w:p>
    <w:p>
      <w:pPr>
        <w:spacing w:before="248" w:after="0" w:line="220" w:lineRule="exact"/>
        <w:ind w:left="450" w:right="0" w:firstLine="0"/>
        <w:jc w:val="left"/>
        <w:rPr>
          <w:rFonts w:ascii="Times New Roman"/>
          <w:color w:val="000000"/>
          <w:spacing w:val="0"/>
          <w:sz w:val="21"/>
        </w:rPr>
      </w:pPr>
      <w:r>
        <w:rPr>
          <w:rFonts w:ascii="KaiTi" w:hAnsi="KaiTi" w:cs="KaiTi"/>
          <w:color w:val="000000"/>
          <w:spacing w:val="0"/>
          <w:sz w:val="21"/>
        </w:rPr>
        <w:t>材料三</w:t>
      </w:r>
      <w:r>
        <w:rPr>
          <w:rFonts w:ascii="Times New Roman"/>
          <w:color w:val="000000"/>
          <w:spacing w:val="158"/>
          <w:sz w:val="21"/>
        </w:rPr>
        <w:t xml:space="preserve"> </w:t>
      </w:r>
      <w:r>
        <w:rPr>
          <w:rFonts w:ascii="KaiTi"/>
          <w:color w:val="000000"/>
          <w:spacing w:val="0"/>
          <w:sz w:val="21"/>
        </w:rPr>
        <w:t>20</w:t>
      </w:r>
      <w:r>
        <w:rPr>
          <w:rFonts w:ascii="Times New Roman"/>
          <w:color w:val="000000"/>
          <w:spacing w:val="0"/>
          <w:sz w:val="21"/>
        </w:rPr>
        <w:t xml:space="preserve"> </w:t>
      </w:r>
      <w:r>
        <w:rPr>
          <w:rFonts w:ascii="KaiTi" w:hAnsi="KaiTi" w:cs="KaiTi"/>
          <w:color w:val="000000"/>
          <w:spacing w:val="0"/>
          <w:sz w:val="21"/>
        </w:rPr>
        <w:t>世纪</w:t>
      </w:r>
      <w:r>
        <w:rPr>
          <w:rFonts w:ascii="Times New Roman"/>
          <w:color w:val="000000"/>
          <w:spacing w:val="0"/>
          <w:sz w:val="21"/>
        </w:rPr>
        <w:t xml:space="preserve"> </w:t>
      </w:r>
      <w:r>
        <w:rPr>
          <w:rFonts w:ascii="KaiTi"/>
          <w:color w:val="000000"/>
          <w:spacing w:val="0"/>
          <w:sz w:val="21"/>
        </w:rPr>
        <w:t>60</w:t>
      </w:r>
      <w:r>
        <w:rPr>
          <w:rFonts w:ascii="Times New Roman"/>
          <w:color w:val="000000"/>
          <w:spacing w:val="0"/>
          <w:sz w:val="21"/>
        </w:rPr>
        <w:t xml:space="preserve"> </w:t>
      </w:r>
      <w:r>
        <w:rPr>
          <w:rFonts w:ascii="KaiTi" w:hAnsi="KaiTi" w:cs="KaiTi"/>
          <w:color w:val="000000"/>
          <w:spacing w:val="0"/>
          <w:sz w:val="21"/>
        </w:rPr>
        <w:t>年代，美国城市骚乱频发，基层社会矛盾尖锐。联邦政府推出“社区行动计划”，</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1"/>
          <w:sz w:val="21"/>
        </w:rPr>
        <w:t>鼓励社区居民参与公共事务决策；20</w:t>
      </w:r>
      <w:r>
        <w:rPr>
          <w:rFonts w:ascii="Times New Roman"/>
          <w:color w:val="000000"/>
          <w:spacing w:val="-4"/>
          <w:sz w:val="21"/>
        </w:rPr>
        <w:t xml:space="preserve"> </w:t>
      </w:r>
      <w:r>
        <w:rPr>
          <w:rFonts w:ascii="KaiTi" w:hAnsi="KaiTi" w:cs="KaiTi"/>
          <w:color w:val="000000"/>
          <w:spacing w:val="0"/>
          <w:sz w:val="21"/>
        </w:rPr>
        <w:t>世纪</w:t>
      </w:r>
      <w:r>
        <w:rPr>
          <w:rFonts w:ascii="Times New Roman"/>
          <w:color w:val="000000"/>
          <w:spacing w:val="-5"/>
          <w:sz w:val="21"/>
        </w:rPr>
        <w:t xml:space="preserve"> </w:t>
      </w:r>
      <w:r>
        <w:rPr>
          <w:rFonts w:ascii="KaiTi"/>
          <w:color w:val="000000"/>
          <w:spacing w:val="0"/>
          <w:sz w:val="21"/>
        </w:rPr>
        <w:t>80</w:t>
      </w:r>
      <w:r>
        <w:rPr>
          <w:rFonts w:ascii="Times New Roman"/>
          <w:color w:val="000000"/>
          <w:spacing w:val="-5"/>
          <w:sz w:val="21"/>
        </w:rPr>
        <w:t xml:space="preserve"> </w:t>
      </w:r>
      <w:r>
        <w:rPr>
          <w:rFonts w:ascii="KaiTi" w:hAnsi="KaiTi" w:cs="KaiTi"/>
          <w:color w:val="000000"/>
          <w:spacing w:val="-1"/>
          <w:sz w:val="21"/>
        </w:rPr>
        <w:t>年代，新公共管理运动兴起，政府将部分基层公共服务外包给</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2"/>
          <w:sz w:val="21"/>
        </w:rPr>
        <w:t>私营企业和非营利组织，减少政府直接干预。同时，美国基层治理注重法律保障，通过《社区再投资法》</w:t>
      </w:r>
    </w:p>
    <w:p>
      <w:pPr>
        <w:spacing w:before="248" w:after="0" w:line="220" w:lineRule="exact"/>
        <w:ind w:left="0" w:right="0" w:firstLine="0"/>
        <w:jc w:val="left"/>
        <w:rPr>
          <w:rFonts w:ascii="Times New Roman"/>
          <w:color w:val="000000"/>
          <w:spacing w:val="0"/>
          <w:sz w:val="21"/>
        </w:rPr>
      </w:pPr>
      <w:r>
        <w:rPr>
          <w:rFonts w:ascii="KaiTi" w:hAnsi="KaiTi" w:cs="KaiTi"/>
          <w:color w:val="000000"/>
          <w:spacing w:val="0"/>
          <w:sz w:val="21"/>
        </w:rPr>
        <w:t>等法案明确各方权责，形成了多元主体协同、法律规范的治理体系。</w:t>
      </w:r>
    </w:p>
    <w:p>
      <w:pPr>
        <w:spacing w:before="248" w:after="0" w:line="220" w:lineRule="exact"/>
        <w:ind w:left="4918" w:right="0" w:firstLine="0"/>
        <w:jc w:val="left"/>
        <w:rPr>
          <w:rFonts w:ascii="Times New Roman"/>
          <w:color w:val="000000"/>
          <w:spacing w:val="0"/>
          <w:sz w:val="21"/>
        </w:rPr>
      </w:pPr>
      <w:r>
        <w:rPr>
          <w:rFonts w:ascii="KaiTi" w:hAnsi="KaiTi" w:cs="KaiTi"/>
          <w:color w:val="000000"/>
          <w:spacing w:val="0"/>
          <w:sz w:val="21"/>
        </w:rPr>
        <w:t>——摘编自谢莉·安斯汀《美国基层治理模式研究》</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1</w:t>
      </w:r>
      <w:r>
        <w:rPr>
          <w:rFonts w:ascii="SimSun" w:hAnsi="SimSun" w:cs="SimSun"/>
          <w:color w:val="000000"/>
          <w:spacing w:val="0"/>
          <w:sz w:val="21"/>
        </w:rPr>
        <w:t>）根据材料一、二，概括拜占庭帝国与近代英国基层治理相关举措的差异，并结合所学知识，分析近代</w:t>
      </w:r>
    </w:p>
    <w:p>
      <w:pPr>
        <w:spacing w:before="237" w:after="0" w:line="220" w:lineRule="exact"/>
        <w:ind w:left="0" w:right="0" w:firstLine="0"/>
        <w:jc w:val="left"/>
        <w:rPr>
          <w:rFonts w:ascii="Times New Roman"/>
          <w:color w:val="000000"/>
          <w:spacing w:val="0"/>
          <w:sz w:val="21"/>
        </w:rPr>
      </w:pPr>
      <w:r>
        <w:rPr>
          <w:rFonts w:ascii="SimSun" w:hAnsi="SimSun" w:cs="SimSun"/>
          <w:color w:val="000000"/>
          <w:spacing w:val="0"/>
          <w:sz w:val="21"/>
        </w:rPr>
        <w:t>英国举措的背景。</w:t>
      </w:r>
    </w:p>
    <w:p>
      <w:pPr>
        <w:spacing w:before="237"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2</w:t>
      </w:r>
      <w:r>
        <w:rPr>
          <w:rFonts w:ascii="SimSun" w:hAnsi="SimSun" w:cs="SimSun"/>
          <w:color w:val="000000"/>
          <w:spacing w:val="0"/>
          <w:sz w:val="21"/>
        </w:rPr>
        <w:t>）根据材料二、三并结合所学知识，指出近代以来西方基层治理的发展趋势，并说明其形成的历史影响。</w:t>
      </w:r>
    </w:p>
    <w:p>
      <w:pPr>
        <w:spacing w:before="226" w:after="0" w:line="243" w:lineRule="exact"/>
        <w:ind w:left="0" w:right="0" w:firstLine="0"/>
        <w:jc w:val="left"/>
        <w:rPr>
          <w:rFonts w:ascii="Times New Roman"/>
          <w:color w:val="000000"/>
          <w:spacing w:val="0"/>
          <w:sz w:val="21"/>
        </w:rPr>
      </w:pPr>
      <w:r>
        <w:rPr>
          <w:rFonts w:ascii="SimSun" w:hAnsi="SimSun" w:cs="SimSun"/>
          <w:color w:val="000000"/>
          <w:spacing w:val="0"/>
          <w:sz w:val="21"/>
        </w:rPr>
        <w:t>（</w:t>
      </w:r>
      <w:r>
        <w:rPr>
          <w:rFonts w:ascii="Times New Roman"/>
          <w:color w:val="000000"/>
          <w:spacing w:val="0"/>
          <w:sz w:val="21"/>
        </w:rPr>
        <w:t>3</w:t>
      </w:r>
      <w:r>
        <w:rPr>
          <w:rFonts w:ascii="SimSun" w:hAnsi="SimSun" w:cs="SimSun"/>
          <w:color w:val="000000"/>
          <w:spacing w:val="0"/>
          <w:sz w:val="21"/>
        </w:rPr>
        <w:t>）根据材料并结合所学知识，谈谈你对古今中外基层治理的认识。</w:t>
      </w:r>
    </w:p>
    <w:p>
      <w:pPr>
        <w:spacing w:before="6196" w:after="0" w:line="243" w:lineRule="exact"/>
        <w:ind w:left="4163" w:right="0" w:firstLine="0"/>
        <w:jc w:val="left"/>
        <w:rPr>
          <w:rFonts w:ascii="Times New Roman"/>
          <w:color w:val="000000"/>
          <w:spacing w:val="0"/>
          <w:sz w:val="21"/>
        </w:rPr>
      </w:pPr>
      <w:r>
        <w:rPr>
          <w:rFonts w:ascii="SimSun" w:hAnsi="SimSun" w:cs="SimSun"/>
          <w:color w:val="000000"/>
          <w:spacing w:val="0"/>
          <w:sz w:val="21"/>
        </w:rPr>
        <w:t>第</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r>
        <w:rPr>
          <w:rFonts w:ascii="Times New Roman"/>
          <w:color w:val="000000"/>
          <w:spacing w:val="0"/>
          <w:sz w:val="21"/>
        </w:rPr>
        <w:t>/</w:t>
      </w:r>
      <w:r>
        <w:rPr>
          <w:rFonts w:ascii="SimSun" w:hAnsi="SimSun" w:cs="SimSun"/>
          <w:color w:val="000000"/>
          <w:spacing w:val="0"/>
          <w:sz w:val="21"/>
        </w:rPr>
        <w:t>共</w:t>
      </w:r>
      <w:r>
        <w:rPr>
          <w:rFonts w:ascii="Times New Roman"/>
          <w:color w:val="000000"/>
          <w:spacing w:val="0"/>
          <w:sz w:val="21"/>
        </w:rPr>
        <w:t xml:space="preserve"> </w:t>
      </w:r>
      <w:r>
        <w:rPr>
          <w:rFonts w:ascii="Times New Roman"/>
          <w:color w:val="000000"/>
          <w:spacing w:val="0"/>
          <w:sz w:val="21"/>
        </w:rPr>
        <w:t>7</w:t>
      </w:r>
      <w:r>
        <w:rPr>
          <w:rFonts w:ascii="SimSun" w:hAnsi="SimSun" w:cs="SimSun"/>
          <w:color w:val="000000"/>
          <w:spacing w:val="0"/>
          <w:sz w:val="21"/>
        </w:rPr>
        <w:t>页</w:t>
      </w:r>
    </w:p>
    <w:sectPr>
      <w:pgSz w:w="11900" w:h="16840"/>
      <w:pgMar w:top="1452" w:right="100" w:bottom="0" w:left="1080" w:header="720" w:footer="720" w:gutter="0"/>
      <w:pgNumType w:start="1"/>
      <w:cols w:sep="0" w:space="720"/>
      <w:docGrid w:linePitch="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01010101" w:usb1="01010101" w:usb2="01010101" w:usb3="01010101" w:csb0="01010105" w:csb1="01010101"/>
    <w:embedRegular r:id="rId1" w:fontKey="{88BED1B2-A8EB-4912-A9BB-0DCD81ED67C8}"/>
    <w:embedBold r:id="rId2" w:fontKey="{A150BF31-E214-42F2-AC4A-9BDEF60F0A82}"/>
  </w:font>
  <w:font w:name="Arial">
    <w:panose1 w:val="020B0604020202020204"/>
    <w:charset w:val="CC"/>
    <w:family w:val="swiss"/>
    <w:pitch w:val="variable"/>
    <w:sig w:usb0="01010101" w:usb1="01010101" w:usb2="01010101" w:usb3="01010101" w:csb0="01010101" w:csb1="01010101"/>
    <w:embedRegular r:id="rId3" w:fontKey="{9CF0D138-BA65-458A-A11D-04F2AB8917FA}"/>
  </w:font>
  <w:font w:name="Calibri">
    <w:panose1 w:val="020F0502020204030204"/>
    <w:charset w:val="CC"/>
    <w:family w:val="swiss"/>
    <w:pitch w:val="variable"/>
    <w:sig w:usb0="01010101" w:usb1="01010101" w:usb2="01010101" w:usb3="01010101" w:csb0="01010101" w:csb1="01010101"/>
    <w:embedRegular r:id="rId4" w:fontKey="{4FC9979A-92CD-4629-9663-F6C84CAD7ED6}"/>
  </w:font>
  <w:font w:name="SimSun">
    <w:panose1 w:val="00000000000000000000"/>
    <w:charset w:val="01"/>
    <w:family w:val="auto"/>
    <w:notTrueType/>
    <w:pitch w:val="default"/>
    <w:sig w:usb0="01010101" w:usb1="01010101" w:usb2="01010101" w:usb3="01010101" w:csb0="01010101" w:csb1="01010101"/>
    <w:embedRegular r:id="rId5" w:subsetted="1" w:fontKey="{7F53556A-E6CA-47D8-8D4F-2E6EB5B2F9E6}"/>
  </w:font>
  <w:font w:name="KaiTi">
    <w:panose1 w:val="00000000000000000000"/>
    <w:charset w:val="01"/>
    <w:family w:val="auto"/>
    <w:notTrueType/>
    <w:pitch w:val="default"/>
    <w:sig w:usb0="01010101" w:usb1="01010101" w:usb2="01010101" w:usb3="01010101" w:csb0="01010101" w:csb1="01010101"/>
    <w:embedRegular r:id="rId6" w:subsetted="1" w:fontKey="{933ADB7B-BEB6-4574-8542-AA57E798BBE0}"/>
  </w:font>
  <w:font w:name="Cambria">
    <w:charset w:val="00"/>
    <w:family w:val="auto"/>
    <w:pitch w:val="default"/>
    <w:embedRegular r:id="rId7" w:fontKey="{60E3BB22-CD5C-46DE-BDDF-0EDD45D7BAE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lsdException w:name="Normal Indent"/>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lsdException w:name="Closing"/>
    <w:lsdException w:name="Signature"/>
    <w:lsdException w:name="Default Paragraph Font"/>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lsdException w:name="Salutation"/>
    <w:lsdException w:name="Date"/>
    <w:lsdException w:name="Body Text First Indent"/>
    <w:lsdException w:name="Body Text First Indent 2"/>
    <w:lsdException w:name="Note Heading"/>
    <w:lsdException w:name="Body Text 2"/>
    <w:lsdException w:name="Body Text Indent 2"/>
    <w:lsdException w:name="Body Text Indent 3"/>
    <w:lsdException w:name="Block Text"/>
    <w:lsdException w:name="Hyperlink"/>
    <w:lsdException w:name="FollowedHyperlink"/>
    <w:lsdException w:name="Strong"/>
    <w:lsdException w:name="Emphasis"/>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 Lis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lsdException w:name="Table Theme"/>
    <w:lsdException w:name="Placeholder Text"/>
    <w:lsdException w:name="No Spacing"/>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Revision"/>
    <w:lsdException w:name="List Paragraph"/>
    <w:lsdException w:name="Quote"/>
    <w:lsdException w:name="Intense Quote"/>
    <w:lsdException w:name="Subtle Emphasis"/>
    <w:lsdException w:name="Intense Emphasis"/>
    <w:lsdException w:name="Subtle Reference"/>
    <w:lsdException w:name="Intense Reference"/>
    <w:lsdException w:name="Book Title"/>
    <w:lsdException w:name="Bibliography"/>
    <w:lsdException w:name="TOC Heading"/>
  </w:latentStyles>
  <w:style w:type="paragraph" w:default="1" w:styleId="Normal">
    <w:name w:val="Normal"/>
    <w:pPr>
      <w:spacing w:before="120" w:after="240"/>
      <w:jc w:val="both"/>
    </w:pPr>
    <w:rPr>
      <w:sz w:val="22"/>
      <w:szCs w:val="22"/>
      <w:lang w:val="en-US" w:eastAsia="en-US" w:bidi="ar-SA"/>
    </w:rPr>
  </w:style>
  <w:style w:type="character" w:default="1" w:styleId="DefaultParagraphFont">
    <w:name w:val="Default Paragraph Font"/>
    <w:link w:val="Normal"/>
    <w:semiHidden/>
  </w:style>
  <w:style w:type="paragraph" w:default="1" w:styleId="NoList">
    <w:name w:val="No List"/>
    <w:link w:val="Normal"/>
    <w:semiHidden/>
  </w:style>
  <w:style w:type="table" w:customStyle="1" w:styleId="TableNormal">
    <w:name w:val="Table Normal"/>
    <w:link w:val="Normal"/>
    <w:semiHidden/>
    <w:tblPr>
      <w:jc w:val="left"/>
      <w:tblInd w:w="0" w:type="dxa"/>
      <w:tblCellMar>
        <w:top w:w="0" w:type="dxa"/>
        <w:left w:w="108"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image" Target="media/image14.jpeg"/><Relationship Id="rId18" Type="http://schemas.openxmlformats.org/officeDocument/2006/relationships/image" Target="media/image15.jpeg"/><Relationship Id="rId19" Type="http://schemas.openxmlformats.org/officeDocument/2006/relationships/theme" Target="theme/theme1.xml"/><Relationship Id="rId2" Type="http://schemas.openxmlformats.org/officeDocument/2006/relationships/webSettings" Target="webSettings.xml"/><Relationship Id="rId20" Type="http://schemas.openxmlformats.org/officeDocument/2006/relationships/styles" Target="styles.xml"/><Relationship Id="rId3" Type="http://schemas.openxmlformats.org/officeDocument/2006/relationships/fontTable" Target="fontTable.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xiaoqiao</dc:creator>
</cp:coreProperties>
</file>