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7.0 -->
  <w:body>
    <w:p>
      <w:pPr>
        <w:spacing w:before="0" w:after="0" w:line="325" w:lineRule="exact"/>
        <w:ind w:left="3913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.75pt;height:2.75pt;margin-top:72.55pt;margin-left:404.15pt;mso-position-horizontal-relative:page;mso-position-vertical-relative:page;position:absolute;z-index:-251628544">
            <v:imagedata r:id="rId4" o:title=""/>
          </v:shape>
        </w:pict>
      </w:r>
      <w:bookmarkStart w:id="0" w:name="br1"/>
      <w:bookmarkEnd w:id="0"/>
      <w:r>
        <w:rPr>
          <w:noProof/>
        </w:rPr>
        <w:pict>
          <v:shape id="_x0000_s1026" type="#_x0000_t75" style="width:202.35pt;height:151.35pt;margin-top:360.7pt;margin-left:53pt;mso-position-horizontal-relative:page;mso-position-vertical-relative:page;position:absolute;z-index:-251629568">
            <v:imagedata r:id="rId5" o:title=""/>
          </v:shape>
        </w:pict>
      </w:r>
      <w:r>
        <w:rPr>
          <w:noProof/>
        </w:rPr>
        <w:pict>
          <v:shape id="_x0000_s1027" type="#_x0000_t75" style="width:2.75pt;height:2.75pt;margin-top:769.7pt;margin-left:116.8pt;mso-position-horizontal-relative:page;mso-position-vertical-relative:page;position:absolute;z-index:-251630592">
            <v:imagedata r:id="rId6" o:title=""/>
          </v:shape>
        </w:pict>
      </w:r>
      <w:r>
        <w:rPr>
          <w:noProof/>
        </w:rPr>
        <w:pict>
          <v:shape id="_x0000_s1028" type="#_x0000_t75" style="width:12.5pt;height:16.25pt;margin-top:660.9pt;margin-left:245.1pt;mso-position-horizontal-relative:page;mso-position-vertical-relative:page;position:absolute;z-index:-251631616">
            <v:imagedata r:id="rId7" o:title=""/>
          </v:shape>
        </w:pict>
      </w:r>
      <w:r>
        <w:rPr>
          <w:rFonts w:ascii="SimSun" w:hAnsi="SimSun" w:cs="SimSun"/>
          <w:color w:val="000000"/>
          <w:spacing w:val="0"/>
          <w:sz w:val="32"/>
        </w:rPr>
        <w:t>高二地理试卷</w:t>
      </w:r>
    </w:p>
    <w:p>
      <w:pPr>
        <w:spacing w:before="250" w:after="0" w:line="276" w:lineRule="exact"/>
        <w:ind w:left="276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0"/>
          <w:sz w:val="24"/>
        </w:rPr>
        <w:t>本试卷满分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SimSun" w:hAnsi="SimSun" w:cs="SimSun"/>
          <w:color w:val="000000"/>
          <w:spacing w:val="2"/>
          <w:sz w:val="24"/>
        </w:rPr>
        <w:t>分，考试用时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SimSun" w:hAnsi="SimSun" w:cs="SimSun"/>
          <w:color w:val="000000"/>
          <w:spacing w:val="0"/>
          <w:sz w:val="24"/>
        </w:rPr>
        <w:t>分钟。</w:t>
      </w:r>
    </w:p>
    <w:p>
      <w:pPr>
        <w:spacing w:before="15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0"/>
          <w:sz w:val="24"/>
        </w:rPr>
        <w:t>注意事项：</w:t>
      </w:r>
    </w:p>
    <w:p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SimSun" w:hAnsi="SimSun" w:cs="SimSun"/>
          <w:color w:val="000000"/>
          <w:spacing w:val="1"/>
          <w:sz w:val="24"/>
        </w:rPr>
        <w:t>答题前，考生务必将自己的姓名、考生号、考场号、座位号填写在答题卡上。</w:t>
      </w:r>
    </w:p>
    <w:p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SimSun" w:hAnsi="SimSun" w:cs="SimSun"/>
          <w:color w:val="000000"/>
          <w:spacing w:val="-1"/>
          <w:sz w:val="24"/>
        </w:rPr>
        <w:t>回答选择题时，选出每小题答案后，用铅笔把答题卡上对应题目的答案标号涂黑。如需改动，</w:t>
      </w:r>
    </w:p>
    <w:p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4"/>
          <w:sz w:val="24"/>
        </w:rPr>
        <w:t>用橡皮擦干净后，再选涂其他答案标号。回答非选择题时，将答案写在答题卡上。写在本试</w:t>
      </w:r>
    </w:p>
    <w:p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0"/>
          <w:sz w:val="24"/>
        </w:rPr>
        <w:t>卷上无效。</w:t>
      </w:r>
    </w:p>
    <w:p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SimSun" w:hAnsi="SimSun" w:cs="SimSun"/>
          <w:color w:val="000000"/>
          <w:spacing w:val="1"/>
          <w:sz w:val="24"/>
        </w:rPr>
        <w:t>考试结束后，将本试卷和答题卡一并交回。</w:t>
      </w:r>
    </w:p>
    <w:p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4.</w:t>
      </w:r>
      <w:r>
        <w:rPr>
          <w:rFonts w:ascii="SimSun" w:hAnsi="SimSun" w:cs="SimSun"/>
          <w:color w:val="000000"/>
          <w:spacing w:val="1"/>
          <w:sz w:val="24"/>
        </w:rPr>
        <w:t>本试卷主要考试内容：必修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SimSun" w:hAnsi="SimSun" w:cs="SimSun"/>
          <w:color w:val="000000"/>
          <w:spacing w:val="4"/>
          <w:sz w:val="24"/>
        </w:rPr>
        <w:t>，必修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SimSun" w:hAnsi="SimSun" w:cs="SimSun"/>
          <w:color w:val="000000"/>
          <w:spacing w:val="2"/>
          <w:sz w:val="24"/>
        </w:rPr>
        <w:t>，选择性必修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1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SimSun" w:hAnsi="SimSun" w:cs="SimSun"/>
          <w:color w:val="000000"/>
          <w:spacing w:val="0"/>
          <w:sz w:val="24"/>
        </w:rPr>
        <w:t>第一章至第四章。</w:t>
      </w:r>
    </w:p>
    <w:p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5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SimSun" w:hAnsi="SimSun" w:cs="SimSun"/>
          <w:color w:val="000000"/>
          <w:spacing w:val="5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SimSun" w:hAnsi="SimSun" w:cs="SimSun"/>
          <w:color w:val="000000"/>
          <w:spacing w:val="6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SimSun" w:hAnsi="SimSun" w:cs="SimSun"/>
          <w:color w:val="000000"/>
          <w:spacing w:val="4"/>
          <w:sz w:val="24"/>
        </w:rPr>
        <w:t>分。在每小题给出的四个选项中，只有一</w:t>
      </w:r>
    </w:p>
    <w:p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0"/>
          <w:sz w:val="24"/>
        </w:rPr>
        <w:t>项是符合题目要求的。</w:t>
      </w:r>
    </w:p>
    <w:p>
      <w:pPr>
        <w:spacing w:before="185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韦尔纳扎村坐落在意大利东南海岸一个向外伸出的岬角上，是一个山水之上的古渔村。玛格丽特教堂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是该村落最重要的建筑，周边形成的教堂广场是村落的活动中心。下图示意该村落位置和民居分布。据此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完成下面小题。</w:t>
      </w:r>
    </w:p>
    <w:p>
      <w:pPr>
        <w:spacing w:before="336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韦尔纳扎村的村落形态及其主要制约因素是（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条带状，海运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反“</w:t>
      </w:r>
      <w:r>
        <w:rPr>
          <w:rFonts w:ascii="Times New Roman"/>
          <w:color w:val="000000"/>
          <w:spacing w:val="0"/>
          <w:sz w:val="21"/>
        </w:rPr>
        <w:t>L</w:t>
      </w:r>
      <w:r>
        <w:rPr>
          <w:rFonts w:ascii="SimSun" w:hAnsi="SimSun" w:cs="SimSun"/>
          <w:color w:val="000000"/>
          <w:spacing w:val="0"/>
          <w:sz w:val="21"/>
        </w:rPr>
        <w:t>”形，地形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条带状，地形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反“</w:t>
      </w:r>
      <w:r>
        <w:rPr>
          <w:rFonts w:ascii="Times New Roman"/>
          <w:color w:val="000000"/>
          <w:spacing w:val="0"/>
          <w:sz w:val="21"/>
        </w:rPr>
        <w:t>L</w:t>
      </w:r>
      <w:r>
        <w:rPr>
          <w:rFonts w:ascii="SimSun" w:hAnsi="SimSun" w:cs="SimSun"/>
          <w:color w:val="000000"/>
          <w:spacing w:val="0"/>
          <w:sz w:val="21"/>
        </w:rPr>
        <w:t>”形，海运</w:t>
      </w:r>
    </w:p>
    <w:p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关于韦尔纳扎村民居的朝向及其目的，说法正确的是（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西部朝西南，面朝大海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西部朝东北，加强通风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东部朝正南，增强光照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东部朝西北，减轻潮湿</w:t>
      </w:r>
    </w:p>
    <w:p>
      <w:pPr>
        <w:spacing w:before="34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玛格丽特教堂及广场并未处于村落中心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宗教信仰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街巷格局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人口流动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村落发展</w:t>
      </w:r>
    </w:p>
    <w:p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钙华是含碳酸氢钙的地热水接近和出露地表时，因二氧化碳大量逸出而形成碳酸钙的化学沉淀物。下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图示意青藏高原东缘贡嘎山西侧断裂带内决支沟钙华分布。据此完成下面小题。</w:t>
      </w:r>
    </w:p>
    <w:p>
      <w:pPr>
        <w:spacing w:before="36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List"/>
        <w:sectPr>
          <w:pgSz w:w="11900" w:h="16840"/>
          <w:pgMar w:top="1474" w:right="100" w:bottom="0" w:left="1080" w:header="720" w:footer="720" w:gutter="0"/>
          <w:pgNumType w:start="1"/>
          <w:cols w:sep="0" w:space="720"/>
          <w:docGrid w:linePitch="1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rPr>
          <w:noProof/>
        </w:rPr>
        <w:pict>
          <v:shape id="_x0000_s1029" type="#_x0000_t75" style="width:2.75pt;height:2.75pt;margin-top:72.55pt;margin-left:404.15pt;mso-position-horizontal-relative:page;mso-position-vertical-relative:page;position:absolute;z-index:-251632640">
            <v:imagedata r:id="rId8" o:title=""/>
          </v:shape>
        </w:pict>
      </w:r>
      <w:r>
        <w:rPr>
          <w:noProof/>
        </w:rPr>
        <w:pict>
          <v:shape id="_x0000_s1030" type="#_x0000_t75" style="width:239.1pt;height:230.9pt;margin-top:442.5pt;margin-left:53pt;mso-position-horizontal-relative:page;mso-position-vertical-relative:page;position:absolute;z-index:-251633664">
            <v:imagedata r:id="rId9" o:title=""/>
          </v:shape>
        </w:pict>
      </w:r>
      <w:r>
        <w:rPr>
          <w:noProof/>
        </w:rPr>
        <w:pict>
          <v:shape id="_x0000_s1031" type="#_x0000_t75" style="width:2.75pt;height:2.75pt;margin-top:769.7pt;margin-left:116.8pt;mso-position-horizontal-relative:page;mso-position-vertical-relative:page;position:absolute;z-index:-251634688">
            <v:imagedata r:id="rId10" o:title=""/>
          </v:shape>
        </w:pict>
      </w:r>
      <w:r>
        <w:rPr>
          <w:noProof/>
        </w:rPr>
        <w:pict>
          <v:shape id="_x0000_s1032" type="#_x0000_t75" style="width:323.15pt;height:129.6pt;margin-top:71.8pt;margin-left:53pt;mso-position-horizontal-relative:page;mso-position-vertical-relative:page;position:absolute;z-index:-251635712">
            <v:imagedata r:id="rId11" o:title=""/>
          </v:shape>
        </w:pict>
      </w: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与钙华形成机制相同的岩石是（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安山岩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花岗岩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珊瑚礁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大理岩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图中冰碛物的特点是（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磨圆度高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大小混杂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颗粒均匀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分选性好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该区域早期钙华的形成与冰期活动有关，推测冰期对该区域早期钙华的影响有（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8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①早期钙华地貌大量发育</w:t>
      </w:r>
      <w:r>
        <w:rPr>
          <w:rFonts w:ascii="Times New Roman"/>
          <w:color w:val="000000"/>
          <w:spacing w:val="2889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②早期钙华发育羊背石景观</w:t>
      </w:r>
    </w:p>
    <w:p>
      <w:pPr>
        <w:spacing w:before="239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③地下水从断裂带处溢出</w:t>
      </w:r>
      <w:r>
        <w:rPr>
          <w:rFonts w:ascii="Times New Roman"/>
          <w:color w:val="000000"/>
          <w:spacing w:val="2889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④早期钙华有诸多擦蚀痕迹</w:t>
      </w:r>
    </w:p>
    <w:p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②④</w:t>
      </w:r>
    </w:p>
    <w:p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/>
          <w:color w:val="000000"/>
          <w:spacing w:val="0"/>
          <w:sz w:val="21"/>
        </w:rPr>
        <w:t>2021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年第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号台风“烟花”生成于西北太平洋洋面，受副热带高压南侧气流的引导，移动速度缓慢且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移动路径复杂。下图示意台风</w:t>
      </w:r>
      <w:r>
        <w:rPr>
          <w:rFonts w:ascii="SimSun" w:hAnsi="SimSun" w:cs="SimSun"/>
          <w:color w:val="000000"/>
          <w:spacing w:val="0"/>
          <w:sz w:val="21"/>
        </w:rPr>
        <w:t>“</w:t>
      </w:r>
      <w:r>
        <w:rPr>
          <w:rFonts w:ascii="KaiTi" w:hAnsi="KaiTi" w:cs="KaiTi"/>
          <w:color w:val="000000"/>
          <w:spacing w:val="0"/>
          <w:sz w:val="21"/>
        </w:rPr>
        <w:t>烟花</w:t>
      </w:r>
      <w:r>
        <w:rPr>
          <w:rFonts w:ascii="SimSun" w:hAnsi="SimSun" w:cs="SimSun"/>
          <w:color w:val="000000"/>
          <w:spacing w:val="0"/>
          <w:sz w:val="21"/>
        </w:rPr>
        <w:t>”</w:t>
      </w:r>
      <w:r>
        <w:rPr>
          <w:rFonts w:ascii="KaiTi" w:hAnsi="KaiTi" w:cs="KaiTi"/>
          <w:color w:val="000000"/>
          <w:spacing w:val="0"/>
          <w:sz w:val="21"/>
        </w:rPr>
        <w:t>部分移动路径。据此完成下面小题。</w:t>
      </w:r>
    </w:p>
    <w:p>
      <w:pPr>
        <w:spacing w:before="492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当台风“烟花”位于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地时，受其影响，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地风向为（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151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List"/>
        <w:sectPr>
          <w:pgSz w:w="11900" w:h="16840"/>
          <w:pgMar w:top="4250" w:right="100" w:bottom="0" w:left="1080" w:header="720" w:footer="720" w:gutter="0"/>
          <w:pgNumType w:start="1"/>
          <w:cols w:sep="0" w:space="720"/>
          <w:docGrid w:linePitch="1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rPr>
          <w:noProof/>
        </w:rPr>
        <w:pict>
          <v:shape id="_x0000_s1033" type="#_x0000_t75" style="width:2.75pt;height:2.75pt;margin-top:72.55pt;margin-left:404.15pt;mso-position-horizontal-relative:page;mso-position-vertical-relative:page;position:absolute;z-index:-251636736">
            <v:imagedata r:id="rId12" o:title=""/>
          </v:shape>
        </w:pict>
      </w:r>
      <w:r>
        <w:rPr>
          <w:noProof/>
        </w:rPr>
        <w:pict>
          <v:shape id="_x0000_s1034" type="#_x0000_t75" style="width:265.35pt;height:242.15pt;margin-top:265.4pt;margin-left:53pt;mso-position-horizontal-relative:page;mso-position-vertical-relative:page;position:absolute;z-index:-251637760">
            <v:imagedata r:id="rId13" o:title=""/>
          </v:shape>
        </w:pict>
      </w:r>
      <w:r>
        <w:rPr>
          <w:noProof/>
        </w:rPr>
        <w:pict>
          <v:shape id="_x0000_s1035" type="#_x0000_t75" style="width:2.75pt;height:2.75pt;margin-top:769.7pt;margin-left:116.8pt;mso-position-horizontal-relative:page;mso-position-vertical-relative:page;position:absolute;z-index:-251638784">
            <v:imagedata r:id="rId14" o:title=""/>
          </v:shape>
        </w:pict>
      </w:r>
      <w:r>
        <w:rPr>
          <w:noProof/>
        </w:rPr>
        <w:pict>
          <v:shape id="_x0000_s1036" type="#_x0000_t75" style="width:263.85pt;height:66.55pt;margin-top:71.8pt;margin-left:53pt;mso-position-horizontal-relative:page;mso-position-vertical-relative:page;position:absolute;z-index:-251639808">
            <v:imagedata r:id="rId15" o:title=""/>
          </v:shape>
        </w:pict>
      </w:r>
      <w:r>
        <w:rPr>
          <w:noProof/>
        </w:rPr>
        <w:pict>
          <v:shape id="_x0000_s1037" type="#_x0000_t75" style="width:12.5pt;height:16.25pt;margin-top:171.6pt;margin-left:302.9pt;mso-position-horizontal-relative:page;mso-position-vertical-relative:page;position:absolute;z-index:-251640832">
            <v:imagedata r:id="rId7" o:title="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19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</w:t>
      </w:r>
      <w:r>
        <w:rPr>
          <w:rFonts w:ascii="Times New Roman"/>
          <w:color w:val="000000"/>
          <w:spacing w:val="19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③</w:t>
      </w:r>
      <w:r>
        <w:rPr>
          <w:rFonts w:ascii="Times New Roman"/>
          <w:color w:val="000000"/>
          <w:spacing w:val="19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④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台风“烟花”在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海域一带滞留长达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小时，产生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主要作用是（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增加水汽供应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增大台风风力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增强中心气压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加快移动速度</w:t>
      </w:r>
    </w:p>
    <w:p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鲁汶流是印尼穿越流的分支，构成澳大利亚西部岸外的东边界流，其强度受澳洲冬季风、海平面、厄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尔尼诺影响。下图为澳大利亚西部岸外和洋流分布图。据此完成下面小题。</w:t>
      </w:r>
    </w:p>
    <w:p>
      <w:pPr>
        <w:spacing w:before="523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厄尔尼诺发生时，东南信风势力和鲁汶流强度的变化情况分别是（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增强，减弱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减弱，增强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增强，增强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减弱，减弱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气候变暖对澳大利亚西海岸产生的影响是（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大陆架出露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鲁汶流通道变窄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降水量增加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鲁汶流势力减弱</w:t>
      </w:r>
    </w:p>
    <w:p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-2"/>
          <w:sz w:val="21"/>
        </w:rPr>
        <w:t>雪花下落时融化成雨滴，再降落至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0℃</w:t>
      </w:r>
      <w:r>
        <w:rPr>
          <w:rFonts w:ascii="KaiTi" w:hAnsi="KaiTi" w:cs="KaiTi"/>
          <w:color w:val="000000"/>
          <w:spacing w:val="-2"/>
          <w:sz w:val="21"/>
        </w:rPr>
        <w:t>以下的近地面大气层形成过冷水滴状态，此时形成冻雨天气。某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8"/>
          <w:sz w:val="21"/>
        </w:rPr>
        <w:t>11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月吉林省出现罕见的大范围冰冻雨雪天气。下图为吉林长春站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0℃</w:t>
      </w:r>
      <w:r>
        <w:rPr>
          <w:rFonts w:ascii="KaiTi" w:hAnsi="KaiTi" w:cs="KaiTi"/>
          <w:color w:val="000000"/>
          <w:spacing w:val="0"/>
          <w:sz w:val="21"/>
        </w:rPr>
        <w:t>温度线和液态、固态水含量时间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</w:p>
    <w:p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高度分布图，据此完成下面小题。</w:t>
      </w:r>
    </w:p>
    <w:p>
      <w:pPr>
        <w:spacing w:before="199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List"/>
        <w:sectPr>
          <w:pgSz w:w="11900" w:h="16840"/>
          <w:pgMar w:top="3001" w:right="100" w:bottom="0" w:left="1080" w:header="720" w:footer="720" w:gutter="0"/>
          <w:pgNumType w:start="1"/>
          <w:cols w:sep="0" w:space="720"/>
          <w:docGrid w:linePitch="1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rPr>
          <w:noProof/>
        </w:rPr>
        <w:pict>
          <v:shape id="_x0000_s1038" type="#_x0000_t75" style="width:2.75pt;height:2.75pt;margin-top:72.55pt;margin-left:404.15pt;mso-position-horizontal-relative:page;mso-position-vertical-relative:page;position:absolute;z-index:-251641856">
            <v:imagedata r:id="rId16" o:title=""/>
          </v:shape>
        </w:pict>
      </w:r>
      <w:r>
        <w:rPr>
          <w:noProof/>
        </w:rPr>
        <w:pict>
          <v:shape id="_x0000_s1039" type="#_x0000_t75" style="width:5pt;height:5.75pt;margin-top:473.3pt;margin-left:212.1pt;mso-position-horizontal-relative:page;mso-position-vertical-relative:page;position:absolute;z-index:-251642880">
            <v:imagedata r:id="rId17" o:title=""/>
          </v:shape>
        </w:pict>
      </w:r>
      <w:r>
        <w:rPr>
          <w:noProof/>
        </w:rPr>
        <w:pict>
          <v:shape id="_x0000_s1040" type="#_x0000_t75" style="width:2.75pt;height:2.75pt;margin-top:769.7pt;margin-left:116.8pt;mso-position-horizontal-relative:page;mso-position-vertical-relative:page;position:absolute;z-index:-251643904">
            <v:imagedata r:id="rId18" o:title=""/>
          </v:shape>
        </w:pict>
      </w:r>
      <w:r>
        <w:rPr>
          <w:noProof/>
        </w:rPr>
        <w:pict>
          <v:shape id="_x0000_s1041" type="#_x0000_t75" style="width:296.1pt;height:224.15pt;margin-top:71.05pt;margin-left:53pt;mso-position-horizontal-relative:page;mso-position-vertical-relative:page;position:absolute;z-index:-251644928">
            <v:imagedata r:id="rId19" o:title=""/>
          </v:shape>
        </w:pict>
      </w:r>
      <w:r>
        <w:rPr>
          <w:noProof/>
        </w:rPr>
        <w:pict>
          <v:shape id="_x0000_s1042" type="#_x0000_t75" style="width:293.85pt;height:143.85pt;margin-top:587.35pt;margin-left:53pt;mso-position-horizontal-relative:page;mso-position-vertical-relative:page;position:absolute;z-index:-251645952">
            <v:imagedata r:id="rId20" o:title=""/>
          </v:shape>
        </w:pict>
      </w: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关于下列四个时刻的说法，正确的是（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时正下冻雨</w:t>
      </w:r>
      <w:r>
        <w:rPr>
          <w:rFonts w:ascii="Times New Roman"/>
          <w:color w:val="000000"/>
          <w:spacing w:val="2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时正在下雨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时正在下雪</w:t>
      </w:r>
      <w:r>
        <w:rPr>
          <w:rFonts w:ascii="Times New Roman"/>
          <w:color w:val="000000"/>
          <w:spacing w:val="273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时正下冻雨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本次长春冻雨持续的时间约为（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</w:t>
      </w:r>
      <w:r>
        <w:rPr>
          <w:rFonts w:ascii="Times New Roman"/>
          <w:color w:val="000000"/>
          <w:spacing w:val="176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时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利于长春出现冻雨天气的条件有（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8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①该月平均气温较往年偏高</w:t>
      </w:r>
      <w:r>
        <w:rPr>
          <w:rFonts w:ascii="Times New Roman"/>
          <w:color w:val="000000"/>
          <w:spacing w:val="2469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②对流层中低层形成稳定逆温层</w:t>
      </w:r>
    </w:p>
    <w:p>
      <w:pPr>
        <w:spacing w:before="239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③下沉气流强，含水量大</w:t>
      </w:r>
      <w:r>
        <w:rPr>
          <w:rFonts w:ascii="Times New Roman"/>
          <w:color w:val="000000"/>
          <w:spacing w:val="2889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④风力大，冷空气南下速度快</w:t>
      </w:r>
    </w:p>
    <w:p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③④</w:t>
      </w:r>
    </w:p>
    <w:p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赤道式日晷利用日照时晷针投影的位置指示时间，安装时要求晷盘平行于赤道面，晷盘上盘朝向正北，</w:t>
      </w:r>
    </w:p>
    <w:p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晷针与晷盘垂直。湖南某中学（</w:t>
      </w:r>
      <w:r>
        <w:rPr>
          <w:rFonts w:ascii="Times New Roman" w:hAnsi="Times New Roman" w:cs="Times New Roman"/>
          <w:color w:val="000000"/>
          <w:spacing w:val="0"/>
          <w:sz w:val="21"/>
        </w:rPr>
        <w:t>26°N</w:t>
      </w:r>
      <w:r>
        <w:rPr>
          <w:rFonts w:ascii="KaiTi" w:hAnsi="KaiTi" w:cs="KaiTi"/>
          <w:color w:val="000000"/>
          <w:spacing w:val="0"/>
          <w:sz w:val="21"/>
        </w:rPr>
        <w:t>，</w:t>
      </w:r>
      <w:r>
        <w:rPr>
          <w:rFonts w:ascii="Times New Roman" w:hAnsi="Times New Roman" w:cs="Times New Roman"/>
          <w:color w:val="000000"/>
          <w:spacing w:val="-2"/>
          <w:sz w:val="21"/>
        </w:rPr>
        <w:t>112°E</w:t>
      </w:r>
      <w:r>
        <w:rPr>
          <w:rFonts w:ascii="KaiTi" w:hAnsi="KaiTi" w:cs="KaiTi"/>
          <w:color w:val="000000"/>
          <w:spacing w:val="-6"/>
          <w:sz w:val="21"/>
        </w:rPr>
        <w:t>）学生自制赤道式日晷（左图），于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9:32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在教学楼附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近（右图）进行实地观察，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小时后该学生抵达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城（</w:t>
      </w:r>
      <w:r>
        <w:rPr>
          <w:rFonts w:ascii="Times New Roman" w:hAnsi="Times New Roman" w:cs="Times New Roman"/>
          <w:color w:val="000000"/>
          <w:spacing w:val="0"/>
          <w:sz w:val="21"/>
        </w:rPr>
        <w:t>30°N</w:t>
      </w:r>
      <w:r>
        <w:rPr>
          <w:rFonts w:ascii="KaiTi" w:hAnsi="KaiTi" w:cs="KaiTi"/>
          <w:color w:val="000000"/>
          <w:spacing w:val="0"/>
          <w:sz w:val="21"/>
        </w:rPr>
        <w:t>，</w:t>
      </w:r>
      <w:r>
        <w:rPr>
          <w:rFonts w:ascii="Times New Roman" w:hAnsi="Times New Roman" w:cs="Times New Roman"/>
          <w:color w:val="000000"/>
          <w:spacing w:val="0"/>
          <w:sz w:val="21"/>
        </w:rPr>
        <w:t>106°E</w:t>
      </w:r>
      <w:r>
        <w:rPr>
          <w:rFonts w:ascii="KaiTi" w:hAnsi="KaiTi" w:cs="KaiTi"/>
          <w:color w:val="000000"/>
          <w:spacing w:val="0"/>
          <w:sz w:val="21"/>
        </w:rPr>
        <w:t>）游玩。据此完成下面小题。</w:t>
      </w:r>
    </w:p>
    <w:p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该学生观察时日晷摆放的地点最可能是（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List"/>
        <w:sectPr>
          <w:pgSz w:w="11900" w:h="16840"/>
          <w:pgMar w:top="6123" w:right="100" w:bottom="0" w:left="1080" w:header="720" w:footer="720" w:gutter="0"/>
          <w:pgNumType w:start="1"/>
          <w:cols w:sep="0" w:space="720"/>
          <w:docGrid w:linePitch="1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rPr>
          <w:noProof/>
        </w:rPr>
        <w:pict>
          <v:shape id="_x0000_s1043" type="#_x0000_t75" style="width:2.75pt;height:2.75pt;margin-top:72.55pt;margin-left:404.15pt;mso-position-horizontal-relative:page;mso-position-vertical-relative:page;position:absolute;z-index:-251646976">
            <v:imagedata r:id="rId21" o:title=""/>
          </v:shape>
        </w:pict>
      </w:r>
      <w:r>
        <w:rPr>
          <w:noProof/>
        </w:rPr>
        <w:pict>
          <v:shape id="_x0000_s1044" type="#_x0000_t75" style="width:410.15pt;height:227.15pt;margin-top:392.25pt;margin-left:53pt;mso-position-horizontal-relative:page;mso-position-vertical-relative:page;position:absolute;z-index:-251648000">
            <v:imagedata r:id="rId22" o:title=""/>
          </v:shape>
        </w:pict>
      </w:r>
      <w:r>
        <w:rPr>
          <w:noProof/>
        </w:rPr>
        <w:pict>
          <v:shape id="_x0000_s1045" type="#_x0000_t75" style="width:2.75pt;height:2.75pt;margin-top:769.7pt;margin-left:116.8pt;mso-position-horizontal-relative:page;mso-position-vertical-relative:page;position:absolute;z-index:-251649024">
            <v:imagedata r:id="rId6" o:title=""/>
          </v:shape>
        </w:pict>
      </w:r>
      <w:r>
        <w:rPr>
          <w:noProof/>
        </w:rPr>
        <w:pict>
          <v:shape id="_x0000_s1046" type="#_x0000_t75" style="width:13.25pt;height:17pt;margin-top:163.35pt;margin-left:137.05pt;mso-position-horizontal-relative:page;mso-position-vertical-relative:page;position:absolute;z-index:-251650048">
            <v:imagedata r:id="rId23" o:title="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甲</w:t>
      </w:r>
      <w:r>
        <w:rPr>
          <w:rFonts w:ascii="Times New Roman"/>
          <w:color w:val="000000"/>
          <w:spacing w:val="18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乙</w:t>
      </w:r>
      <w:r>
        <w:rPr>
          <w:rFonts w:ascii="Times New Roman"/>
          <w:color w:val="000000"/>
          <w:spacing w:val="18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丙</w:t>
      </w:r>
      <w:r>
        <w:rPr>
          <w:rFonts w:ascii="Times New Roman"/>
          <w:color w:val="000000"/>
          <w:spacing w:val="187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丁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该学生到达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城后，即刻调整日晷观察，日晷指示的时间为（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12:32</w:t>
      </w:r>
      <w:r>
        <w:rPr>
          <w:rFonts w:ascii="Times New Roman"/>
          <w:color w:val="000000"/>
          <w:spacing w:val="164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11:36</w:t>
      </w:r>
      <w:r>
        <w:rPr>
          <w:rFonts w:ascii="Times New Roman"/>
          <w:color w:val="000000"/>
          <w:spacing w:val="16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13:28</w:t>
      </w:r>
      <w:r>
        <w:rPr>
          <w:rFonts w:ascii="Times New Roman"/>
          <w:color w:val="000000"/>
          <w:spacing w:val="16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12:00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与该日相比，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日该学生观察到的变化是（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）</w:t>
      </w:r>
    </w:p>
    <w:p>
      <w:pPr>
        <w:spacing w:before="218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①晷针影子全部落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下盘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②晷针影子呈顺时针转动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③正午晷针影子长度变长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④晷针影子转动角度变</w:t>
      </w:r>
    </w:p>
    <w:p>
      <w:pPr>
        <w:spacing w:before="25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大</w:t>
      </w:r>
    </w:p>
    <w:p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②④</w:t>
      </w:r>
    </w:p>
    <w:p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SimSun" w:hAnsi="SimSun" w:cs="SimSun"/>
          <w:color w:val="000000"/>
          <w:spacing w:val="2"/>
          <w:sz w:val="24"/>
        </w:rPr>
        <w:t>二、非选择题：共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SimSun" w:hAnsi="SimSun" w:cs="SimSun"/>
          <w:color w:val="000000"/>
          <w:spacing w:val="3"/>
          <w:sz w:val="24"/>
        </w:rPr>
        <w:t>道题，共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SimSun" w:hAnsi="SimSun" w:cs="SimSun"/>
          <w:color w:val="000000"/>
          <w:spacing w:val="0"/>
          <w:sz w:val="24"/>
        </w:rPr>
        <w:t>分。</w:t>
      </w:r>
    </w:p>
    <w:p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阅读图文材料，完成下列要求。</w:t>
      </w:r>
    </w:p>
    <w:p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肯尼亚位于非洲东部，境内横跨东非大裂谷的蒙内（蒙巴萨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KaiTi" w:hAnsi="KaiTi" w:cs="KaiTi"/>
          <w:color w:val="000000"/>
          <w:spacing w:val="0"/>
          <w:sz w:val="21"/>
        </w:rPr>
        <w:t>内罗毕）铁路由我国企业承建，于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2017</w:t>
      </w:r>
    </w:p>
    <w:p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年建成通车。蒙内铁路沿线地势起伏大，多保护区，为此设计了多条野生动物迁徙通道。蒙内铁路车站造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-3"/>
          <w:sz w:val="21"/>
        </w:rPr>
        <w:t>型多样，如基布韦兹车站（左图），其开放的树叶形屋顶形态源自当地传统建筑的出挑屋檐。利用夜光遥感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可得到各地区的灯光指数，灯光指数能够反映区域内整体经济发展水平。右图示意蒙内铁路沿线地区的灯</w:t>
      </w:r>
    </w:p>
    <w:p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光指数。</w:t>
      </w:r>
    </w:p>
    <w:p>
      <w:pPr>
        <w:spacing w:before="492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SimSun" w:hAnsi="SimSun" w:cs="SimSun"/>
          <w:color w:val="000000"/>
          <w:spacing w:val="0"/>
          <w:sz w:val="21"/>
        </w:rPr>
        <w:t>）在设计野生动物迁徙通道的位置和大小时，中国企业做了大量实地调查。归纳中国企业实地调查的具</w:t>
      </w:r>
    </w:p>
    <w:p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体内容。</w:t>
      </w:r>
    </w:p>
    <w:p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SimSun" w:hAnsi="SimSun" w:cs="SimSun"/>
          <w:color w:val="000000"/>
          <w:spacing w:val="0"/>
          <w:sz w:val="21"/>
        </w:rPr>
        <w:t>）简析基布韦兹车站出挑屋檐和屋顶形态的作用。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SimSun" w:hAnsi="SimSun" w:cs="SimSun"/>
          <w:color w:val="000000"/>
          <w:spacing w:val="0"/>
          <w:sz w:val="21"/>
        </w:rPr>
        <w:t>）结合灯光指数的变化，说明蒙内铁路建设对沿线地区经济发展的影响。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阅读图文材料，完成下列要求。</w:t>
      </w:r>
    </w:p>
    <w:p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米林宽谷属雅鲁藏布江中游，地处喜马拉雅山脉东南边缘地带，河谷两岸发育了大量沙丘地貌。该段</w:t>
      </w:r>
    </w:p>
    <w:p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rPr>
          <w:noProof/>
        </w:rPr>
        <w:pict>
          <v:shape id="_x0000_s1047" type="#_x0000_t75" style="width:2.75pt;height:2.75pt;margin-top:72.55pt;margin-left:404.15pt;mso-position-horizontal-relative:page;mso-position-vertical-relative:page;position:absolute;z-index:-251651072">
            <v:imagedata r:id="rId24" o:title=""/>
          </v:shape>
        </w:pict>
      </w:r>
      <w:r>
        <w:rPr>
          <w:noProof/>
        </w:rPr>
        <w:pict>
          <v:shape id="_x0000_s1048" type="#_x0000_t75" style="width:410.9pt;height:309.7pt;margin-top:455.25pt;margin-left:47pt;mso-position-horizontal-relative:page;mso-position-vertical-relative:page;position:absolute;z-index:-251652096">
            <v:imagedata r:id="rId25" o:title=""/>
          </v:shape>
        </w:pict>
      </w:r>
      <w:r>
        <w:rPr>
          <w:noProof/>
        </w:rPr>
        <w:pict>
          <v:shape id="_x0000_s1049" type="#_x0000_t75" style="width:2.75pt;height:2.75pt;margin-top:769.7pt;margin-left:116.8pt;mso-position-horizontal-relative:page;mso-position-vertical-relative:page;position:absolute;z-index:-251653120">
            <v:imagedata r:id="rId26" o:title=""/>
          </v:shape>
        </w:pict>
      </w:r>
      <w:r>
        <w:rPr>
          <w:noProof/>
        </w:rPr>
        <w:pict>
          <v:shape id="_x0000_s1050" type="#_x0000_t75" style="width:374.9pt;height:102.55pt;margin-top:140.1pt;margin-left:53pt;mso-position-horizontal-relative:page;mso-position-vertical-relative:page;position:absolute;z-index:-251654144">
            <v:imagedata r:id="rId27" o:title=""/>
          </v:shape>
        </w:pict>
      </w:r>
      <w:r>
        <w:rPr>
          <w:rFonts w:ascii="KaiTi" w:hAnsi="KaiTi" w:cs="KaiTi"/>
          <w:color w:val="000000"/>
          <w:spacing w:val="0"/>
          <w:sz w:val="21"/>
        </w:rPr>
        <w:t>河谷大风日数多，风速大，且多发生在午后。观察该地某爬坡沙丘发现，</w:t>
      </w:r>
      <w:r>
        <w:rPr>
          <w:rFonts w:ascii="Times New Roman"/>
          <w:color w:val="000000"/>
          <w:spacing w:val="0"/>
          <w:sz w:val="21"/>
        </w:rPr>
        <w:t>2010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年前爬坡沙丘呈明显扩张态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-1"/>
          <w:sz w:val="21"/>
        </w:rPr>
        <w:t>势，但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年后扩张受阻，甚至呈缓慢缩减趋势。图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示意爬坡沙丘的位置，图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示意爬坡沙丘表面沉积</w:t>
      </w:r>
    </w:p>
    <w:p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物中细沙和极细沙比例及变化情况。</w:t>
      </w:r>
    </w:p>
    <w:p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SimSun" w:hAnsi="SimSun" w:cs="SimSun"/>
          <w:color w:val="000000"/>
          <w:spacing w:val="0"/>
          <w:sz w:val="21"/>
        </w:rPr>
        <w:t>）说明米林宽谷沙丘地貌广泛发育的条件。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SimSun" w:hAnsi="SimSun" w:cs="SimSun"/>
          <w:color w:val="000000"/>
          <w:spacing w:val="0"/>
          <w:sz w:val="21"/>
        </w:rPr>
        <w:t>）据图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描述爬坡沙丘表层沉积物粒径的组成和变化特征。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SimSun" w:hAnsi="SimSun" w:cs="SimSun"/>
          <w:color w:val="000000"/>
          <w:spacing w:val="0"/>
          <w:sz w:val="21"/>
        </w:rPr>
        <w:t>）推测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年后该地爬坡沙丘扩张受阻甚至呈缓慢缩减趋势的原因。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SimSun" w:hAnsi="SimSun" w:cs="SimSun"/>
          <w:color w:val="000000"/>
          <w:spacing w:val="0"/>
          <w:sz w:val="21"/>
        </w:rPr>
        <w:t>阅读图文材料，完成下列要求。</w:t>
      </w:r>
    </w:p>
    <w:p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2"/>
          <w:sz w:val="21"/>
        </w:rPr>
        <w:t>江西红壤坡地柑橘种植面积大，大规模坡地果业开发易造成水土流失。为分析不同林下植被配置模式</w:t>
      </w:r>
    </w:p>
    <w:p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1"/>
          <w:sz w:val="21"/>
        </w:rPr>
        <w:t>对柑橘园水土保持效益的影响，某科研团队设置了柑橘园、柑橘园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KaiTi" w:hAnsi="KaiTi" w:cs="KaiTi"/>
          <w:color w:val="000000"/>
          <w:spacing w:val="1"/>
          <w:sz w:val="21"/>
        </w:rPr>
        <w:t>百喜草全园种草、柑橘园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KaiTi" w:hAnsi="KaiTi" w:cs="KaiTi"/>
          <w:color w:val="000000"/>
          <w:spacing w:val="1"/>
          <w:sz w:val="21"/>
        </w:rPr>
        <w:t>百喜草带状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1"/>
          <w:sz w:val="21"/>
        </w:rPr>
        <w:t>种草、柑橘园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KaiTi" w:hAnsi="KaiTi" w:cs="KaiTi"/>
          <w:color w:val="000000"/>
          <w:spacing w:val="1"/>
          <w:sz w:val="21"/>
        </w:rPr>
        <w:t>经济作物横坡耕种、柑橘园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KaiTi" w:hAnsi="KaiTi" w:cs="KaiTi"/>
          <w:color w:val="000000"/>
          <w:spacing w:val="1"/>
          <w:sz w:val="21"/>
        </w:rPr>
        <w:t>经济作物纵坡耕种等小区域开展实验观察。通过实地监测和数</w:t>
      </w:r>
    </w:p>
    <w:p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据处理，该团队得到了五个小区域的径流量和泥沙量数据。</w:t>
      </w:r>
    </w:p>
    <w:p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表：不同实验小区域的年平均径流量和含沙量</w:t>
      </w:r>
    </w:p>
    <w:p>
      <w:pPr>
        <w:spacing w:before="335" w:after="0" w:line="234" w:lineRule="exact"/>
        <w:ind w:left="194" w:right="2742" w:firstLine="3138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-7"/>
          <w:sz w:val="21"/>
        </w:rPr>
        <w:t>径流减流率（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Times New Roman"/>
          <w:color w:val="000000"/>
          <w:spacing w:val="1766"/>
          <w:sz w:val="21"/>
        </w:rPr>
        <w:t xml:space="preserve"> </w:t>
      </w:r>
      <w:r>
        <w:rPr>
          <w:rFonts w:ascii="KaiTi" w:hAnsi="KaiTi" w:cs="KaiTi"/>
          <w:color w:val="000000"/>
          <w:spacing w:val="-7"/>
          <w:sz w:val="21"/>
        </w:rPr>
        <w:t>泥沙减沙率（</w:t>
      </w:r>
      <w:r>
        <w:rPr>
          <w:rFonts w:ascii="Times New Roman"/>
          <w:color w:val="000000"/>
          <w:spacing w:val="0"/>
          <w:sz w:val="21"/>
        </w:rPr>
        <w:t xml:space="preserve">% </w:t>
      </w:r>
      <w:r>
        <w:rPr>
          <w:rFonts w:ascii="KaiTi" w:hAnsi="KaiTi" w:cs="KaiTi"/>
          <w:color w:val="000000"/>
          <w:spacing w:val="0"/>
          <w:sz w:val="21"/>
        </w:rPr>
        <w:t>实验小区域</w:t>
      </w:r>
      <w:r>
        <w:rPr>
          <w:rFonts w:ascii="Times New Roman"/>
          <w:color w:val="000000"/>
          <w:spacing w:val="450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径流量（</w:t>
      </w:r>
      <w:r>
        <w:rPr>
          <w:rFonts w:ascii="Times New Roman" w:hAnsi="Times New Roman" w:cs="Times New Roman"/>
          <w:color w:val="000000"/>
          <w:spacing w:val="0"/>
          <w:sz w:val="21"/>
        </w:rPr>
        <w:t>m³</w:t>
      </w:r>
      <w:r>
        <w:rPr>
          <w:rFonts w:ascii="KaiTi" w:hAnsi="KaiTi" w:cs="KaiTi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928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泥沙量（</w:t>
      </w:r>
      <w:r>
        <w:rPr>
          <w:rFonts w:ascii="Times New Roman"/>
          <w:color w:val="000000"/>
          <w:spacing w:val="0"/>
          <w:sz w:val="21"/>
        </w:rPr>
        <w:t>kg</w:t>
      </w:r>
      <w:r>
        <w:rPr>
          <w:rFonts w:ascii="KaiTi" w:hAnsi="KaiTi" w:cs="KaiTi"/>
          <w:color w:val="000000"/>
          <w:spacing w:val="0"/>
          <w:sz w:val="21"/>
        </w:rPr>
        <w:t>）</w:t>
      </w:r>
    </w:p>
    <w:p>
      <w:pPr>
        <w:spacing w:before="3" w:after="0" w:line="220" w:lineRule="exact"/>
        <w:ind w:left="39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2949"/>
          <w:sz w:val="21"/>
        </w:rPr>
        <w:t xml:space="preserve"> </w:t>
      </w:r>
      <w:r>
        <w:rPr>
          <w:rFonts w:ascii="KaiTi" w:hAnsi="KaiTi" w:cs="KaiTi"/>
          <w:color w:val="000000"/>
          <w:spacing w:val="0"/>
          <w:sz w:val="21"/>
        </w:rPr>
        <w:t>）</w:t>
      </w:r>
    </w:p>
    <w:p>
      <w:pPr>
        <w:spacing w:before="402" w:after="0" w:line="243" w:lineRule="exact"/>
        <w:ind w:left="40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柑橘园</w:t>
      </w:r>
      <w:r>
        <w:rPr>
          <w:rFonts w:ascii="Times New Roman"/>
          <w:color w:val="000000"/>
          <w:spacing w:val="10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272.51</w:t>
      </w:r>
      <w:r>
        <w:rPr>
          <w:rFonts w:ascii="Times New Roman"/>
          <w:color w:val="000000"/>
          <w:spacing w:val="11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33.1</w:t>
      </w:r>
      <w:r>
        <w:rPr>
          <w:rFonts w:ascii="Times New Roman"/>
          <w:color w:val="000000"/>
          <w:spacing w:val="10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2290.15</w:t>
      </w:r>
      <w:r>
        <w:rPr>
          <w:rFonts w:ascii="Times New Roman"/>
          <w:color w:val="000000"/>
          <w:spacing w:val="10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61.1</w:t>
      </w:r>
    </w:p>
    <w:p>
      <w:pPr>
        <w:spacing w:before="391" w:after="0" w:line="243" w:lineRule="exact"/>
        <w:ind w:left="2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KaiTi" w:hAnsi="KaiTi" w:cs="KaiTi"/>
          <w:color w:val="000000"/>
          <w:spacing w:val="0"/>
          <w:sz w:val="21"/>
        </w:rPr>
        <w:t>百喜草</w:t>
      </w:r>
    </w:p>
    <w:p>
      <w:pPr>
        <w:spacing w:before="0" w:after="372" w:line="239" w:lineRule="exact"/>
        <w:ind w:left="299" w:right="3255" w:firstLine="185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23.31</w:t>
      </w:r>
      <w:r>
        <w:rPr>
          <w:rFonts w:ascii="Times New Roman"/>
          <w:color w:val="000000"/>
          <w:spacing w:val="11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94.3</w:t>
      </w:r>
      <w:r>
        <w:rPr>
          <w:rFonts w:ascii="Times New Roman"/>
          <w:color w:val="000000"/>
          <w:spacing w:val="11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14.91</w:t>
      </w:r>
      <w:r>
        <w:rPr>
          <w:rFonts w:ascii="Times New Roman"/>
          <w:color w:val="000000"/>
          <w:spacing w:val="11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99.8 </w:t>
      </w:r>
      <w:r>
        <w:rPr>
          <w:rFonts w:ascii="KaiTi" w:hAnsi="KaiTi" w:cs="KaiTi"/>
          <w:color w:val="000000"/>
          <w:spacing w:val="0"/>
          <w:sz w:val="21"/>
        </w:rPr>
        <w:t>全园种草</w:t>
      </w:r>
    </w:p>
    <w:tbl>
      <w:tblPr>
        <w:tblStyle w:val="TableNormal"/>
        <w:tblW w:w="0" w:type="auto"/>
        <w:jc w:val="left"/>
        <w:tblInd w:w="0" w:type="dxa"/>
        <w:tblCellMar>
          <w:left w:w="0" w:type="dxa"/>
          <w:right w:w="0" w:type="dxa"/>
        </w:tblCellMar>
        <w:tblLook w:val="04A0"/>
      </w:tblPr>
      <w:tblGrid>
        <w:gridCol w:w="29"/>
        <w:gridCol w:w="2099"/>
        <w:gridCol w:w="20"/>
        <w:gridCol w:w="5355"/>
      </w:tblGrid>
      <w:tr>
        <w:tblPrEx>
          <w:tblW w:w="0" w:type="auto"/>
          <w:jc w:val="left"/>
          <w:tblInd w:w="0" w:type="dxa"/>
          <w:tblCellMar>
            <w:left w:w="0" w:type="dxa"/>
            <w:right w:w="0" w:type="dxa"/>
          </w:tblCellMar>
          <w:tblLook w:val="04A0"/>
        </w:tblPrEx>
        <w:trPr>
          <w:trHeight w:val="690"/>
          <w:jc w:val="left"/>
        </w:trPr>
        <w:tc>
          <w:tcPr>
            <w:tcW w:w="29" w:type="dxa"/>
            <w:noWrap w:val="0"/>
            <w:textDirection w:val="lrTb"/>
            <w:tcFitText w:val="0"/>
            <w:vAlign w:val="top"/>
          </w:tcPr>
          <w:p>
            <w:pPr>
              <w:spacing w:before="0" w:after="0" w:line="0" w:lineRule="atLeas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2099" w:type="dxa"/>
            <w:noWrap w:val="0"/>
            <w:textDirection w:val="lrTb"/>
            <w:tcFitText w:val="0"/>
            <w:vAlign w:val="top"/>
          </w:tcPr>
          <w:p>
            <w:pPr>
              <w:spacing w:before="0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KaiTi" w:hAnsi="KaiTi" w:cs="KaiTi"/>
                <w:color w:val="000000"/>
                <w:spacing w:val="0"/>
                <w:sz w:val="21"/>
              </w:rPr>
              <w:t>柑橘园</w:t>
            </w:r>
            <w:r>
              <w:rPr>
                <w:rFonts w:ascii="Times New Roman"/>
                <w:color w:val="000000"/>
                <w:spacing w:val="0"/>
                <w:sz w:val="21"/>
              </w:rPr>
              <w:t>+</w:t>
            </w:r>
            <w:r>
              <w:rPr>
                <w:rFonts w:ascii="KaiTi" w:hAnsi="KaiTi" w:cs="KaiTi"/>
                <w:color w:val="000000"/>
                <w:spacing w:val="0"/>
                <w:sz w:val="21"/>
              </w:rPr>
              <w:t>百喜草</w:t>
            </w:r>
          </w:p>
          <w:p>
            <w:pPr>
              <w:spacing w:before="247" w:after="0" w:line="210" w:lineRule="exact"/>
              <w:ind w:left="269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KaiTi" w:hAnsi="KaiTi" w:cs="KaiTi"/>
                <w:color w:val="000000"/>
                <w:spacing w:val="0"/>
                <w:sz w:val="21"/>
              </w:rPr>
              <w:t>带状种草</w:t>
            </w:r>
          </w:p>
        </w:tc>
        <w:tc>
          <w:tcPr>
            <w:tcW w:w="20" w:type="dxa"/>
            <w:noWrap w:val="0"/>
            <w:textDirection w:val="lrTb"/>
            <w:tcFitText w:val="0"/>
            <w:vAlign w:val="top"/>
          </w:tcPr>
          <w:p>
            <w:pPr>
              <w:spacing w:before="0" w:after="0" w:line="0" w:lineRule="atLeas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5355" w:type="dxa"/>
            <w:noWrap w:val="0"/>
            <w:textDirection w:val="lrTb"/>
            <w:tcFitText w:val="0"/>
            <w:vAlign w:val="top"/>
          </w:tcPr>
          <w:p>
            <w:pPr>
              <w:spacing w:before="150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Times New Roman"/>
                <w:color w:val="000000"/>
                <w:spacing w:val="0"/>
                <w:sz w:val="21"/>
              </w:rPr>
              <w:t>20.20</w:t>
            </w:r>
            <w:r>
              <w:rPr>
                <w:rFonts w:ascii="Times New Roman"/>
                <w:color w:val="000000"/>
                <w:spacing w:val="1171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94.8</w:t>
            </w:r>
            <w:r>
              <w:rPr>
                <w:rFonts w:ascii="Times New Roman"/>
                <w:color w:val="000000"/>
                <w:spacing w:val="1187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5</w:t>
            </w:r>
            <w:r>
              <w:rPr>
                <w:rFonts w:ascii="Times New Roman"/>
                <w:color w:val="000000"/>
                <w:spacing w:val="-2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76</w:t>
            </w:r>
            <w:r>
              <w:rPr>
                <w:rFonts w:ascii="Times New Roman"/>
                <w:color w:val="000000"/>
                <w:spacing w:val="1187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99.9</w:t>
            </w:r>
          </w:p>
        </w:tc>
      </w:tr>
    </w:tbl>
    <w:p>
      <w:pPr>
        <w:spacing w:before="412" w:after="0" w:line="243" w:lineRule="exact"/>
        <w:ind w:left="2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KaiTi" w:hAnsi="KaiTi" w:cs="KaiTi"/>
          <w:color w:val="000000"/>
          <w:spacing w:val="0"/>
          <w:sz w:val="21"/>
        </w:rPr>
        <w:t>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KaiTi" w:hAnsi="KaiTi" w:cs="KaiTi"/>
          <w:color w:val="000000"/>
          <w:spacing w:val="0"/>
          <w:sz w:val="21"/>
        </w:rPr>
        <w:t>经济作</w:t>
      </w:r>
    </w:p>
    <w:p>
      <w:pPr>
        <w:spacing w:before="0" w:after="372" w:line="239" w:lineRule="exact"/>
        <w:ind w:left="194" w:right="3255" w:firstLine="1955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91.82</w:t>
      </w:r>
      <w:r>
        <w:rPr>
          <w:rFonts w:ascii="Times New Roman"/>
          <w:color w:val="000000"/>
          <w:spacing w:val="11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77.5</w:t>
      </w:r>
      <w:r>
        <w:rPr>
          <w:rFonts w:ascii="Times New Roman"/>
          <w:color w:val="000000"/>
          <w:spacing w:val="10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741.23</w:t>
      </w:r>
      <w:r>
        <w:rPr>
          <w:rFonts w:ascii="Times New Roman"/>
          <w:color w:val="000000"/>
          <w:spacing w:val="10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87.4 </w:t>
      </w:r>
      <w:r>
        <w:rPr>
          <w:rFonts w:ascii="KaiTi" w:hAnsi="KaiTi" w:cs="KaiTi"/>
          <w:color w:val="000000"/>
          <w:spacing w:val="0"/>
          <w:sz w:val="21"/>
        </w:rPr>
        <w:t>物横坡耕种</w:t>
      </w:r>
    </w:p>
    <w:tbl>
      <w:tblPr>
        <w:tblStyle w:val="TableNormal"/>
        <w:tblW w:w="0" w:type="auto"/>
        <w:jc w:val="left"/>
        <w:tblInd w:w="0" w:type="dxa"/>
        <w:tblCellMar>
          <w:left w:w="0" w:type="dxa"/>
          <w:right w:w="0" w:type="dxa"/>
        </w:tblCellMar>
        <w:tblLook w:val="04A0"/>
      </w:tblPr>
      <w:tblGrid>
        <w:gridCol w:w="29"/>
        <w:gridCol w:w="2046"/>
        <w:gridCol w:w="20"/>
        <w:gridCol w:w="5407"/>
      </w:tblGrid>
      <w:tr>
        <w:tblPrEx>
          <w:tblW w:w="0" w:type="auto"/>
          <w:jc w:val="left"/>
          <w:tblInd w:w="0" w:type="dxa"/>
          <w:tblCellMar>
            <w:left w:w="0" w:type="dxa"/>
            <w:right w:w="0" w:type="dxa"/>
          </w:tblCellMar>
          <w:tblLook w:val="04A0"/>
        </w:tblPrEx>
        <w:trPr>
          <w:trHeight w:val="690"/>
          <w:jc w:val="left"/>
        </w:trPr>
        <w:tc>
          <w:tcPr>
            <w:tcW w:w="29" w:type="dxa"/>
            <w:noWrap w:val="0"/>
            <w:textDirection w:val="lrTb"/>
            <w:tcFitText w:val="0"/>
            <w:vAlign w:val="top"/>
          </w:tcPr>
          <w:p>
            <w:pPr>
              <w:spacing w:before="0" w:after="0" w:line="0" w:lineRule="atLeas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2046" w:type="dxa"/>
            <w:noWrap w:val="0"/>
            <w:textDirection w:val="lrTb"/>
            <w:tcFitText w:val="0"/>
            <w:vAlign w:val="top"/>
          </w:tcPr>
          <w:p>
            <w:pPr>
              <w:spacing w:before="0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KaiTi" w:hAnsi="KaiTi" w:cs="KaiTi"/>
                <w:color w:val="000000"/>
                <w:spacing w:val="0"/>
                <w:sz w:val="21"/>
              </w:rPr>
              <w:t>柑橘园</w:t>
            </w:r>
            <w:r>
              <w:rPr>
                <w:rFonts w:ascii="Times New Roman"/>
                <w:color w:val="000000"/>
                <w:spacing w:val="0"/>
                <w:sz w:val="21"/>
              </w:rPr>
              <w:t>+</w:t>
            </w:r>
            <w:r>
              <w:rPr>
                <w:rFonts w:ascii="KaiTi" w:hAnsi="KaiTi" w:cs="KaiTi"/>
                <w:color w:val="000000"/>
                <w:spacing w:val="0"/>
                <w:sz w:val="21"/>
              </w:rPr>
              <w:t>经济作</w:t>
            </w:r>
          </w:p>
          <w:p>
            <w:pPr>
              <w:spacing w:before="247" w:after="0" w:line="210" w:lineRule="exact"/>
              <w:ind w:left="164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KaiTi" w:hAnsi="KaiTi" w:cs="KaiTi"/>
                <w:color w:val="000000"/>
                <w:spacing w:val="0"/>
                <w:sz w:val="21"/>
              </w:rPr>
              <w:t>物纵坡耕种</w:t>
            </w:r>
          </w:p>
        </w:tc>
        <w:tc>
          <w:tcPr>
            <w:tcW w:w="20" w:type="dxa"/>
            <w:noWrap w:val="0"/>
            <w:textDirection w:val="lrTb"/>
            <w:tcFitText w:val="0"/>
            <w:vAlign w:val="top"/>
          </w:tcPr>
          <w:p>
            <w:pPr>
              <w:spacing w:before="0" w:after="0" w:line="0" w:lineRule="atLeas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5407" w:type="dxa"/>
            <w:noWrap w:val="0"/>
            <w:textDirection w:val="lrTb"/>
            <w:tcFitText w:val="0"/>
            <w:vAlign w:val="top"/>
          </w:tcPr>
          <w:p>
            <w:pPr>
              <w:spacing w:before="150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Times New Roman"/>
                <w:color w:val="000000"/>
                <w:spacing w:val="0"/>
                <w:sz w:val="21"/>
              </w:rPr>
              <w:t>138.63</w:t>
            </w:r>
            <w:r>
              <w:rPr>
                <w:rFonts w:ascii="Times New Roman"/>
                <w:color w:val="000000"/>
                <w:spacing w:val="1119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66</w:t>
            </w:r>
            <w:r>
              <w:rPr>
                <w:rFonts w:ascii="Times New Roman"/>
                <w:color w:val="000000"/>
                <w:spacing w:val="-2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0</w:t>
            </w:r>
            <w:r>
              <w:rPr>
                <w:rFonts w:ascii="Times New Roman"/>
                <w:color w:val="000000"/>
                <w:spacing w:val="1029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1324.67</w:t>
            </w:r>
            <w:r>
              <w:rPr>
                <w:rFonts w:ascii="Times New Roman"/>
                <w:color w:val="000000"/>
                <w:spacing w:val="1028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61.1</w:t>
            </w:r>
          </w:p>
        </w:tc>
      </w:tr>
    </w:tbl>
    <w:p>
      <w:pPr>
        <w:spacing w:before="30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List"/>
        <w:sectPr>
          <w:pgSz w:w="11900" w:h="16840"/>
          <w:pgMar w:top="1440" w:right="100" w:bottom="0" w:left="1080" w:header="720" w:footer="720" w:gutter="0"/>
          <w:pgNumType w:start="1"/>
          <w:cols w:sep="0" w:space="720"/>
          <w:docGrid w:linePitch="1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rPr>
          <w:noProof/>
        </w:rPr>
        <w:pict>
          <v:shape id="_x0000_s1051" type="#_x0000_t75" style="width:2.75pt;height:2.75pt;margin-top:72.55pt;margin-left:404.15pt;mso-position-horizontal-relative:page;mso-position-vertical-relative:page;position:absolute;z-index:-251655168">
            <v:imagedata r:id="rId16" o:title=""/>
          </v:shape>
        </w:pict>
      </w:r>
      <w:r>
        <w:rPr>
          <w:noProof/>
        </w:rPr>
        <w:pict>
          <v:shape id="_x0000_s1052" type="#_x0000_t75" style="width:5pt;height:5.75pt;margin-top:473.3pt;margin-left:212.1pt;mso-position-horizontal-relative:page;mso-position-vertical-relative:page;position:absolute;z-index:-251656192">
            <v:imagedata r:id="rId17" o:title=""/>
          </v:shape>
        </w:pict>
      </w:r>
      <w:r>
        <w:rPr>
          <w:noProof/>
        </w:rPr>
        <w:pict>
          <v:shape id="_x0000_s1053" type="#_x0000_t75" style="width:2.75pt;height:2.75pt;margin-top:769.7pt;margin-left:116.8pt;mso-position-horizontal-relative:page;mso-position-vertical-relative:page;position:absolute;z-index:-251657216">
            <v:imagedata r:id="rId28" o:title=""/>
          </v:shape>
        </w:pict>
      </w:r>
      <w:r>
        <w:rPr>
          <w:noProof/>
        </w:rPr>
        <w:pict>
          <v:shape id="_x0000_s1054" type="#_x0000_t75" style="width:240.6pt;height:167.1pt;margin-top:115.3pt;margin-left:53pt;mso-position-horizontal-relative:page;mso-position-vertical-relative:page;position:absolute;z-index:-251658240">
            <v:imagedata r:id="rId29" o:title=""/>
          </v:shape>
        </w:pict>
      </w: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SimSun" w:hAnsi="SimSun" w:cs="SimSun"/>
          <w:color w:val="000000"/>
          <w:spacing w:val="0"/>
          <w:sz w:val="21"/>
        </w:rPr>
        <w:t>）科研团队发现柑橘林对降雨具有再分配作用，并绘制图像进行说明，请你将图像补绘完整。</w:t>
      </w:r>
    </w:p>
    <w:p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SimSun" w:hAnsi="SimSun" w:cs="SimSun"/>
          <w:color w:val="000000"/>
          <w:spacing w:val="0"/>
          <w:sz w:val="21"/>
        </w:rPr>
        <w:t>）指出科研团队设置五个实验小区域时的具体要求。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SimSun" w:hAnsi="SimSun" w:cs="SimSun"/>
          <w:color w:val="000000"/>
          <w:spacing w:val="0"/>
          <w:sz w:val="21"/>
        </w:rPr>
        <w:t>）利用水循环知识，简析“柑橘园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SimSun" w:hAnsi="SimSun" w:cs="SimSun"/>
          <w:color w:val="000000"/>
          <w:spacing w:val="0"/>
          <w:sz w:val="21"/>
        </w:rPr>
        <w:t>植被”模式是如何减轻水土流失的。</w:t>
      </w:r>
    </w:p>
    <w:p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SimSun" w:hAnsi="SimSun" w:cs="SimSun"/>
          <w:color w:val="000000"/>
          <w:spacing w:val="0"/>
          <w:sz w:val="21"/>
        </w:rPr>
        <w:t>）结合表格判断该地最宜推广的植被模式，并说明理由。</w:t>
      </w:r>
    </w:p>
    <w:p>
      <w:pPr>
        <w:spacing w:before="838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SimSun" w:hAnsi="SimSun" w:cs="SimSun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SimSun" w:hAnsi="SimSun" w:cs="SimSun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SimSun" w:hAnsi="SimSun" w:cs="SimSun"/>
          <w:color w:val="000000"/>
          <w:spacing w:val="0"/>
          <w:sz w:val="21"/>
        </w:rPr>
        <w:t>页</w:t>
      </w:r>
    </w:p>
    <w:sectPr>
      <w:pgSz w:w="11900" w:h="16840"/>
      <w:pgMar w:top="1908" w:right="100" w:bottom="0" w:left="1080" w:header="720" w:footer="720" w:gutter="0"/>
      <w:pgNumType w:start="1"/>
      <w:cols w:sep="0"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01010101" w:usb1="01010101" w:usb2="01010101" w:usb3="01010101" w:csb0="01010105" w:csb1="01010101"/>
    <w:embedRegular r:id="rId1" w:fontKey="{BF0E85FA-C76B-47BE-A700-BD9FD9E1E015}"/>
    <w:embedBold r:id="rId2" w:fontKey="{3B0E8D93-4505-4764-A8C2-1D5C692CD496}"/>
  </w:font>
  <w:font w:name="Arial">
    <w:panose1 w:val="020B0604020202020204"/>
    <w:charset w:val="CC"/>
    <w:family w:val="swiss"/>
    <w:pitch w:val="variable"/>
    <w:sig w:usb0="01010101" w:usb1="01010101" w:usb2="01010101" w:usb3="01010101" w:csb0="01010101" w:csb1="01010101"/>
    <w:embedRegular r:id="rId3" w:fontKey="{7F50A360-B53D-42E8-877F-7A5C12310DDE}"/>
  </w:font>
  <w:font w:name="Calibri">
    <w:panose1 w:val="020F0502020204030204"/>
    <w:charset w:val="CC"/>
    <w:family w:val="swiss"/>
    <w:pitch w:val="variable"/>
    <w:sig w:usb0="01010101" w:usb1="01010101" w:usb2="01010101" w:usb3="01010101" w:csb0="01010105" w:csb1="01010101"/>
    <w:embedRegular r:id="rId4" w:fontKey="{1B4D96AE-D7E0-4FEB-A650-5E48935A7267}"/>
  </w:font>
  <w:font w:name="SimSun">
    <w:panose1 w:val="00000000000000000000"/>
    <w:charset w:val="01"/>
    <w:family w:val="auto"/>
    <w:notTrueType/>
    <w:pitch w:val="default"/>
    <w:sig w:usb0="01010101" w:usb1="01010101" w:usb2="01010101" w:usb3="01010101" w:csb0="01010101" w:csb1="01010101"/>
    <w:embedRegular r:id="rId5" w:subsetted="1" w:fontKey="{6143E709-4407-4B19-A600-04B19BF5EB88}"/>
  </w:font>
  <w:font w:name="KaiTi">
    <w:panose1 w:val="00000000000000000000"/>
    <w:charset w:val="01"/>
    <w:family w:val="auto"/>
    <w:notTrueType/>
    <w:pitch w:val="default"/>
    <w:sig w:usb0="01010101" w:usb1="01010101" w:usb2="01010101" w:usb3="01010101" w:csb0="01010101" w:csb1="01010101"/>
    <w:embedRegular r:id="rId6" w:subsetted="1" w:fontKey="{D61627CE-CB3A-475B-8150-3673F2BA9954}"/>
  </w:font>
  <w:font w:name="Cambria">
    <w:charset w:val="00"/>
    <w:family w:val="auto"/>
    <w:pitch w:val="default"/>
    <w:embedRegular r:id="rId7" w:fontKey="{6AA72DEF-20EE-4442-97E5-4E941608E26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</w:rsids>
  <m:mathPr>
    <m:mathFont m:val="Cambria Math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/>
    <w:lsdException w:name="Normal Indent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/>
    <w:lsdException w:name="Closing"/>
    <w:lsdException w:name="Signature"/>
    <w:lsdException w:name="Default Paragraph Font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Indent 2"/>
    <w:lsdException w:name="Body Text Indent 3"/>
    <w:lsdException w:name="Block Text"/>
    <w:lsdException w:name="Hyperlink"/>
    <w:lsdException w:name="FollowedHyperlink"/>
    <w:lsdException w:name="Strong"/>
    <w:lsdException w:name="Emphasis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 Lis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/>
    <w:lsdException w:name="Table Theme"/>
    <w:lsdException w:name="Placeholder Text"/>
    <w:lsdException w:name="No Spacing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Revision"/>
    <w:lsdException w:name="List Paragraph"/>
    <w:lsdException w:name="Quote"/>
    <w:lsdException w:name="Intense Quote"/>
    <w:lsdException w:name="Subtle Emphasis"/>
    <w:lsdException w:name="Intense Emphasis"/>
    <w:lsdException w:name="Subtle Reference"/>
    <w:lsdException w:name="Intense Reference"/>
    <w:lsdException w:name="Book Title"/>
    <w:lsdException w:name="Bibliography"/>
    <w:lsdException w:name="TOC Heading"/>
  </w:latentStyles>
  <w:style w:type="paragraph" w:default="1" w:styleId="Normal">
    <w:name w:val="Normal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default="1" w:styleId="DefaultParagraphFont">
    <w:name w:val="Default Paragraph Font"/>
    <w:link w:val="Normal"/>
    <w:semiHidden/>
  </w:style>
  <w:style w:type="paragraph" w:default="1" w:styleId="NoList">
    <w:name w:val="No List"/>
    <w:link w:val="Normal"/>
    <w:semiHidden/>
  </w:style>
  <w:style w:type="table" w:customStyle="1" w:styleId="TableNormal">
    <w:name w:val="Table Normal"/>
    <w:link w:val="Normal"/>
    <w:semiHidden/>
    <w:tblPr>
      <w:jc w:val="left"/>
      <w:tblInd w:w="0" w:type="dxa"/>
      <w:tblCellMar>
        <w:top w:w="0" w:type="dxa"/>
        <w:left w:w="108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7.jpeg"/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jpeg"/><Relationship Id="rId2" Type="http://schemas.openxmlformats.org/officeDocument/2006/relationships/webSettings" Target="webSettings.xml"/><Relationship Id="rId20" Type="http://schemas.openxmlformats.org/officeDocument/2006/relationships/image" Target="media/image17.jpeg"/><Relationship Id="rId21" Type="http://schemas.openxmlformats.org/officeDocument/2006/relationships/image" Target="media/image18.jpeg"/><Relationship Id="rId22" Type="http://schemas.openxmlformats.org/officeDocument/2006/relationships/image" Target="media/image19.jpeg"/><Relationship Id="rId23" Type="http://schemas.openxmlformats.org/officeDocument/2006/relationships/image" Target="media/image20.jpeg"/><Relationship Id="rId24" Type="http://schemas.openxmlformats.org/officeDocument/2006/relationships/image" Target="media/image21.jpeg"/><Relationship Id="rId25" Type="http://schemas.openxmlformats.org/officeDocument/2006/relationships/image" Target="media/image22.jpeg"/><Relationship Id="rId26" Type="http://schemas.openxmlformats.org/officeDocument/2006/relationships/image" Target="media/image23.jpeg"/><Relationship Id="rId27" Type="http://schemas.openxmlformats.org/officeDocument/2006/relationships/image" Target="media/image24.jpeg"/><Relationship Id="rId28" Type="http://schemas.openxmlformats.org/officeDocument/2006/relationships/image" Target="media/image25.jpeg"/><Relationship Id="rId29" Type="http://schemas.openxmlformats.org/officeDocument/2006/relationships/image" Target="media/image26.jpeg"/><Relationship Id="rId3" Type="http://schemas.openxmlformats.org/officeDocument/2006/relationships/fontTable" Target="fontTable.xml"/><Relationship Id="rId30" Type="http://schemas.openxmlformats.org/officeDocument/2006/relationships/theme" Target="theme/theme1.xml"/><Relationship Id="rId31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xiaoqiao</dc:creator>
</cp:coreProperties>
</file>