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4A04331">
      <w:pPr>
        <w:jc w:val="center"/>
        <w:rPr>
          <w:rFonts w:eastAsia="方正小标宋_GBK"/>
          <w:color w:val="000000" w:themeColor="text1"/>
          <w:sz w:val="32"/>
          <w:szCs w:val="32"/>
          <w14:textFill>
            <w14:solidFill>
              <w14:schemeClr w14:val="tx1"/>
            </w14:solidFill>
          </w14:textFill>
        </w:rPr>
      </w:pPr>
      <w:r>
        <w:rPr>
          <w:rFonts w:eastAsia="方正小标宋_GBK"/>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12395200</wp:posOffset>
            </wp:positionH>
            <wp:positionV relativeFrom="topMargin">
              <wp:posOffset>11328400</wp:posOffset>
            </wp:positionV>
            <wp:extent cx="381000" cy="3429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
                    <a:stretch>
                      <a:fillRect/>
                    </a:stretch>
                  </pic:blipFill>
                  <pic:spPr>
                    <a:xfrm>
                      <a:off x="0" y="0"/>
                      <a:ext cx="381000" cy="342900"/>
                    </a:xfrm>
                    <a:prstGeom prst="rect">
                      <a:avLst/>
                    </a:prstGeom>
                  </pic:spPr>
                </pic:pic>
              </a:graphicData>
            </a:graphic>
          </wp:anchor>
        </w:drawing>
      </w:r>
      <w:r>
        <w:rPr>
          <w:rFonts w:eastAsia="方正小标宋_GBK"/>
          <w:color w:val="000000" w:themeColor="text1"/>
          <w:sz w:val="32"/>
          <w:szCs w:val="32"/>
          <w14:textFill>
            <w14:solidFill>
              <w14:schemeClr w14:val="tx1"/>
            </w14:solidFill>
          </w14:textFill>
        </w:rPr>
        <w:t>2025届高三考前指导卷</w:t>
      </w:r>
    </w:p>
    <w:p w14:paraId="28D64DD3">
      <w:pPr>
        <w:spacing w:line="240" w:lineRule="atLeast"/>
        <w:ind w:right="-178" w:rightChars="-85"/>
        <w:jc w:val="center"/>
        <w:rPr>
          <w:rFonts w:eastAsia="黑体"/>
          <w:bCs/>
          <w:color w:val="000000" w:themeColor="text1"/>
          <w:sz w:val="36"/>
          <w:szCs w:val="36"/>
          <w14:textFill>
            <w14:solidFill>
              <w14:schemeClr w14:val="tx1"/>
            </w14:solidFill>
          </w14:textFill>
        </w:rPr>
      </w:pPr>
      <w:r>
        <w:rPr>
          <w:rFonts w:eastAsia="黑体"/>
          <w:color w:val="000000" w:themeColor="text1"/>
          <w:spacing w:val="38"/>
          <w:sz w:val="36"/>
          <w:szCs w:val="36"/>
          <w14:textFill>
            <w14:solidFill>
              <w14:schemeClr w14:val="tx1"/>
            </w14:solidFill>
          </w14:textFill>
        </w:rPr>
        <w:t>生物试题</w:t>
      </w:r>
    </w:p>
    <w:p w14:paraId="7784004E">
      <w:pPr>
        <w:spacing w:line="0" w:lineRule="atLeast"/>
        <w:rPr>
          <w:rFonts w:eastAsia="黑体"/>
          <w:bCs/>
          <w:color w:val="000000" w:themeColor="text1"/>
          <w14:textFill>
            <w14:solidFill>
              <w14:schemeClr w14:val="tx1"/>
            </w14:solidFill>
          </w14:textFill>
        </w:rPr>
      </w:pPr>
      <w:r>
        <w:rPr>
          <w:rFonts w:eastAsia="黑体"/>
          <w:bCs/>
          <w:color w:val="000000" w:themeColor="text1"/>
          <w14:textFill>
            <w14:solidFill>
              <w14:schemeClr w14:val="tx1"/>
            </w14:solidFill>
          </w14:textFill>
        </w:rPr>
        <w:t>注意事项：</w:t>
      </w:r>
    </w:p>
    <w:p w14:paraId="308C438B">
      <w:pPr>
        <w:rPr>
          <w:rFonts w:eastAsia="华文中宋"/>
          <w:color w:val="000000" w:themeColor="text1"/>
          <w14:textFill>
            <w14:solidFill>
              <w14:schemeClr w14:val="tx1"/>
            </w14:solidFill>
          </w14:textFill>
        </w:rPr>
      </w:pPr>
      <w:r>
        <w:rPr>
          <w:color w:val="000000" w:themeColor="text1"/>
          <w14:textFill>
            <w14:solidFill>
              <w14:schemeClr w14:val="tx1"/>
            </w14:solidFill>
          </w14:textFill>
        </w:rPr>
        <w:t>　　</w:t>
      </w:r>
      <w:r>
        <w:rPr>
          <w:rFonts w:eastAsia="华文中宋"/>
          <w:color w:val="000000" w:themeColor="text1"/>
          <w14:textFill>
            <w14:solidFill>
              <w14:schemeClr w14:val="tx1"/>
            </w14:solidFill>
          </w14:textFill>
        </w:rPr>
        <w:t>1．本试卷考试时间为75分钟，试卷满分100分，考试形式闭卷；</w:t>
      </w:r>
    </w:p>
    <w:p w14:paraId="6664D282">
      <w:pPr>
        <w:rPr>
          <w:rFonts w:eastAsia="华文中宋"/>
          <w:color w:val="000000" w:themeColor="text1"/>
          <w14:textFill>
            <w14:solidFill>
              <w14:schemeClr w14:val="tx1"/>
            </w14:solidFill>
          </w14:textFill>
        </w:rPr>
      </w:pPr>
      <w:r>
        <w:rPr>
          <w:rFonts w:eastAsia="华文中宋"/>
          <w:color w:val="000000" w:themeColor="text1"/>
          <w14:textFill>
            <w14:solidFill>
              <w14:schemeClr w14:val="tx1"/>
            </w14:solidFill>
          </w14:textFill>
        </w:rPr>
        <w:t>　　2．本试卷中所有试题必须作答在答题卡上规定的位置，否则不给分；</w:t>
      </w:r>
    </w:p>
    <w:p w14:paraId="01901C8C">
      <w:pPr>
        <w:ind w:left="735" w:hanging="735" w:hangingChars="350"/>
        <w:rPr>
          <w:rFonts w:eastAsia="华文中宋"/>
          <w:color w:val="000000" w:themeColor="text1"/>
          <w14:textFill>
            <w14:solidFill>
              <w14:schemeClr w14:val="tx1"/>
            </w14:solidFill>
          </w14:textFill>
        </w:rPr>
      </w:pPr>
      <w:r>
        <w:rPr>
          <w:rFonts w:eastAsia="华文中宋"/>
          <w:color w:val="000000" w:themeColor="text1"/>
          <w14:textFill>
            <w14:solidFill>
              <w14:schemeClr w14:val="tx1"/>
            </w14:solidFill>
          </w14:textFill>
        </w:rPr>
        <w:t>　　3．答题前，务必将自己的姓名、准考证号用0.5毫米黑色墨水签字笔填写在试卷及答题卡上。</w:t>
      </w:r>
    </w:p>
    <w:p w14:paraId="782EE6F9">
      <w:pPr>
        <w:tabs>
          <w:tab w:val="left" w:pos="420"/>
          <w:tab w:val="left" w:pos="500"/>
        </w:tabs>
        <w:spacing w:line="276" w:lineRule="auto"/>
        <w:ind w:firstLine="280"/>
        <w:jc w:val="center"/>
        <w:rPr>
          <w:rFonts w:eastAsia="黑体"/>
          <w:color w:val="000000" w:themeColor="text1"/>
          <w:sz w:val="28"/>
          <w:szCs w:val="32"/>
          <w14:textFill>
            <w14:solidFill>
              <w14:schemeClr w14:val="tx1"/>
            </w14:solidFill>
          </w14:textFill>
        </w:rPr>
      </w:pPr>
      <w:r>
        <w:rPr>
          <w:rFonts w:eastAsia="黑体"/>
          <w:color w:val="000000" w:themeColor="text1"/>
          <w:sz w:val="28"/>
          <w:szCs w:val="32"/>
          <w14:textFill>
            <w14:solidFill>
              <w14:schemeClr w14:val="tx1"/>
            </w14:solidFill>
          </w14:textFill>
        </w:rPr>
        <w:t>第 Ⅰ 卷</w:t>
      </w:r>
      <w:r>
        <w:rPr>
          <w:rFonts w:hint="eastAsia" w:eastAsia="黑体"/>
          <w:color w:val="000000" w:themeColor="text1"/>
          <w:sz w:val="28"/>
          <w:szCs w:val="32"/>
          <w14:textFill>
            <w14:solidFill>
              <w14:schemeClr w14:val="tx1"/>
            </w14:solidFill>
          </w14:textFill>
        </w:rPr>
        <w:t>(</w:t>
      </w:r>
      <w:r>
        <w:rPr>
          <w:rFonts w:eastAsia="黑体"/>
          <w:color w:val="000000" w:themeColor="text1"/>
          <w:sz w:val="28"/>
          <w:szCs w:val="32"/>
          <w14:textFill>
            <w14:solidFill>
              <w14:schemeClr w14:val="tx1"/>
            </w14:solidFill>
          </w14:textFill>
        </w:rPr>
        <w:t>选择题  共42分</w:t>
      </w:r>
      <w:r>
        <w:rPr>
          <w:rFonts w:hint="eastAsia" w:eastAsia="黑体"/>
          <w:color w:val="000000" w:themeColor="text1"/>
          <w:sz w:val="28"/>
          <w:szCs w:val="32"/>
          <w14:textFill>
            <w14:solidFill>
              <w14:schemeClr w14:val="tx1"/>
            </w14:solidFill>
          </w14:textFill>
        </w:rPr>
        <w:t>)</w:t>
      </w:r>
    </w:p>
    <w:p w14:paraId="7A46F236">
      <w:pPr>
        <w:spacing w:line="252" w:lineRule="auto"/>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一、单项选择题：共15题，每题2分，共30分。每题只有一个选项最符合题意。</w:t>
      </w:r>
    </w:p>
    <w:p w14:paraId="223ACECD">
      <w:pPr>
        <w:spacing w:line="252" w:lineRule="auto"/>
        <w:rPr>
          <w:color w:val="000000" w:themeColor="text1"/>
          <w14:textFill>
            <w14:solidFill>
              <w14:schemeClr w14:val="tx1"/>
            </w14:solidFill>
          </w14:textFill>
        </w:rPr>
      </w:pPr>
      <w:r>
        <w:rPr>
          <w:color w:val="000000" w:themeColor="text1"/>
          <w14:textFill>
            <w14:solidFill>
              <w14:schemeClr w14:val="tx1"/>
            </w14:solidFill>
          </w14:textFill>
        </w:rPr>
        <w:t>1．生物大分子由单体通过连接键连接而成，下列叙述正确的是</w:t>
      </w:r>
    </w:p>
    <w:p w14:paraId="1BFCD0B4">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A．单体和生物大分子的组成元素相同</w:t>
      </w:r>
    </w:p>
    <w:p w14:paraId="3833064F">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B．生物大分子的多样性都与其单体的排列顺序有关</w:t>
      </w:r>
    </w:p>
    <w:p w14:paraId="0BFAC5C6">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C．蛋白质中的连接键除肽键外，还有二硫键</w:t>
      </w:r>
    </w:p>
    <w:p w14:paraId="5131BFF7">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D．鉴定蛋白质和DNA的试剂都需要碱性环境</w:t>
      </w:r>
    </w:p>
    <w:p w14:paraId="3D1C3777">
      <w:pPr>
        <w:spacing w:line="252" w:lineRule="auto"/>
        <w:ind w:left="315" w:hanging="315" w:hangingChars="15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3042285</wp:posOffset>
            </wp:positionH>
            <wp:positionV relativeFrom="paragraph">
              <wp:posOffset>548005</wp:posOffset>
            </wp:positionV>
            <wp:extent cx="2353310" cy="1605280"/>
            <wp:effectExtent l="0" t="0" r="8890" b="0"/>
            <wp:wrapTight wrapText="bothSides">
              <wp:wrapPolygon>
                <wp:start x="0" y="0"/>
                <wp:lineTo x="0" y="21275"/>
                <wp:lineTo x="21507" y="21275"/>
                <wp:lineTo x="21507"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353310" cy="1605280"/>
                    </a:xfrm>
                    <a:prstGeom prst="rect">
                      <a:avLst/>
                    </a:prstGeom>
                  </pic:spPr>
                </pic:pic>
              </a:graphicData>
            </a:graphic>
          </wp:anchor>
        </w:drawing>
      </w:r>
      <w:r>
        <w:rPr>
          <w:color w:val="000000" w:themeColor="text1"/>
          <w14:textFill>
            <w14:solidFill>
              <w14:schemeClr w14:val="tx1"/>
            </w14:solidFill>
          </w14:textFill>
        </w:rPr>
        <w:t>2．研究人员将绿色荧光蛋白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GFP</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与病毒糖蛋白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VSVG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连接，再用荧光显微镜观察病毒糖蛋白的运动过程，确定了VSVG-GFP在每个细胞结构中</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驻留时间，如下图所示。下列相关叙述正确的是</w:t>
      </w:r>
    </w:p>
    <w:p w14:paraId="27637587">
      <w:pPr>
        <w:spacing w:line="252" w:lineRule="auto"/>
        <w:ind w:left="630" w:hanging="630" w:hangingChars="300"/>
        <w:rPr>
          <w:color w:val="000000" w:themeColor="text1"/>
          <w14:textFill>
            <w14:solidFill>
              <w14:schemeClr w14:val="tx1"/>
            </w14:solidFill>
          </w14:textFill>
        </w:rPr>
      </w:pPr>
      <w:r>
        <w:rPr>
          <w:color w:val="000000" w:themeColor="text1"/>
          <w14:textFill>
            <w14:solidFill>
              <w14:schemeClr w14:val="tx1"/>
            </w14:solidFill>
          </w14:textFill>
        </w:rPr>
        <w:t xml:space="preserve">   A．据图</w:t>
      </w:r>
      <w:r>
        <w:rPr>
          <w:rFonts w:hint="eastAsia"/>
          <w:color w:val="000000" w:themeColor="text1"/>
          <w14:textFill>
            <w14:solidFill>
              <w14:schemeClr w14:val="tx1"/>
            </w14:solidFill>
          </w14:textFill>
        </w:rPr>
        <w:t>分析</w:t>
      </w:r>
      <w:r>
        <w:rPr>
          <w:color w:val="000000" w:themeColor="text1"/>
          <w14:textFill>
            <w14:solidFill>
              <w14:schemeClr w14:val="tx1"/>
            </w14:solidFill>
          </w14:textFill>
        </w:rPr>
        <w:t>，VSVG会在核糖体、内质网、高尔基体三种细胞器膜之间依次转移</w:t>
      </w:r>
    </w:p>
    <w:p w14:paraId="5779CAA0">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B．如果标记染色体上的组蛋白，将出现类似的</w:t>
      </w:r>
    </w:p>
    <w:p w14:paraId="4DA62036">
      <w:pPr>
        <w:spacing w:line="252"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曲线变化趋势</w:t>
      </w:r>
    </w:p>
    <w:p w14:paraId="05482907">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C．VSVG-GFP在线粒体中的驻留时间曲线与</w:t>
      </w:r>
    </w:p>
    <w:p w14:paraId="69BD60A6">
      <w:pPr>
        <w:spacing w:line="252"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在高尔基体中的曲线变化相似</w:t>
      </w:r>
    </w:p>
    <w:p w14:paraId="34B6F9EF">
      <w:pPr>
        <w:spacing w:line="252" w:lineRule="auto"/>
        <w:ind w:firstLine="315" w:firstLineChars="150"/>
        <w:rPr>
          <w:color w:val="000000" w:themeColor="text1"/>
          <w:szCs w:val="21"/>
          <w14:textFill>
            <w14:solidFill>
              <w14:schemeClr w14:val="tx1"/>
            </w14:solidFill>
          </w14:textFill>
        </w:rPr>
      </w:pPr>
      <w:r>
        <w:rPr>
          <w:color w:val="000000" w:themeColor="text1"/>
          <w:szCs w:val="21"/>
          <w14:textFill>
            <w14:solidFill>
              <w14:schemeClr w14:val="tx1"/>
            </w14:solidFill>
          </w14:textFill>
        </w:rPr>
        <w:t>D．病毒糖蛋白随囊泡沿着细胞骨架在各细</w:t>
      </w:r>
      <w:r>
        <w:rPr>
          <w:rFonts w:hint="eastAsia"/>
          <w:color w:val="000000" w:themeColor="text1"/>
          <w:szCs w:val="21"/>
          <w14:textFill>
            <w14:solidFill>
              <w14:schemeClr w14:val="tx1"/>
            </w14:solidFill>
          </w14:textFill>
        </w:rPr>
        <w:t>胞</w:t>
      </w:r>
    </w:p>
    <w:p w14:paraId="5C2D9675">
      <w:pPr>
        <w:spacing w:line="252" w:lineRule="auto"/>
        <w:ind w:firstLine="630" w:firstLineChars="300"/>
        <w:rPr>
          <w:color w:val="000000" w:themeColor="text1"/>
          <w14:textFill>
            <w14:solidFill>
              <w14:schemeClr w14:val="tx1"/>
            </w14:solidFill>
          </w14:textFill>
        </w:rPr>
      </w:pPr>
      <w:r>
        <w:rPr>
          <w:color w:val="000000" w:themeColor="text1"/>
          <w:szCs w:val="21"/>
          <w14:textFill>
            <w14:solidFill>
              <w14:schemeClr w14:val="tx1"/>
            </w14:solidFill>
          </w14:textFill>
        </w:rPr>
        <w:t>结构之间转移</w:t>
      </w:r>
    </w:p>
    <w:p w14:paraId="52431031">
      <w:pPr>
        <w:spacing w:line="252" w:lineRule="auto"/>
        <w:rPr>
          <w:color w:val="000000" w:themeColor="text1"/>
          <w14:textFill>
            <w14:solidFill>
              <w14:schemeClr w14:val="tx1"/>
            </w14:solidFill>
          </w14:textFill>
        </w:rPr>
      </w:pPr>
      <w:r>
        <w:rPr>
          <w:color w:val="000000" w:themeColor="text1"/>
          <w:szCs w:val="22"/>
          <w14:textFill>
            <w14:solidFill>
              <w14:schemeClr w14:val="tx1"/>
            </w14:solidFill>
          </w14:textFill>
        </w:rPr>
        <w:t>3</w:t>
      </w:r>
      <w:r>
        <w:rPr>
          <w:color w:val="000000" w:themeColor="text1"/>
          <w14:textFill>
            <w14:solidFill>
              <w14:schemeClr w14:val="tx1"/>
            </w14:solidFill>
          </w14:textFill>
        </w:rPr>
        <w:t xml:space="preserve">．下列有关酶的叙述错误的是 </w:t>
      </w:r>
    </w:p>
    <w:p w14:paraId="0FE447EB">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A．酶可以</w:t>
      </w:r>
      <w:r>
        <w:rPr>
          <w:rFonts w:hint="eastAsia"/>
          <w:color w:val="000000" w:themeColor="text1"/>
          <w14:textFill>
            <w14:solidFill>
              <w14:schemeClr w14:val="tx1"/>
            </w14:solidFill>
          </w14:textFill>
        </w:rPr>
        <w:t>降低</w:t>
      </w:r>
      <w:r>
        <w:rPr>
          <w:color w:val="000000" w:themeColor="text1"/>
          <w14:textFill>
            <w14:solidFill>
              <w14:schemeClr w14:val="tx1"/>
            </w14:solidFill>
          </w14:textFill>
        </w:rPr>
        <w:t>反应中分子从常态转变为活跃状态所需的能量</w:t>
      </w:r>
    </w:p>
    <w:p w14:paraId="6A578672">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B．溶菌酶是溶酶体中的一种酸性水解酶</w:t>
      </w:r>
    </w:p>
    <w:p w14:paraId="6FB1B819">
      <w:pPr>
        <w:spacing w:line="252" w:lineRule="auto"/>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C．艾弗里的体外转化实验、植物体细胞杂交技术都用了酶解法</w:t>
      </w:r>
    </w:p>
    <w:p w14:paraId="7AB58E89">
      <w:pPr>
        <w:spacing w:line="252" w:lineRule="auto"/>
        <w:ind w:firstLine="315" w:firstLineChars="150"/>
        <w:rPr>
          <w:color w:val="000000" w:themeColor="text1"/>
          <w:vertAlign w:val="subscript"/>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DNA粗提取实验中，研磨液含有抑制DNA酶活性的物质</w:t>
      </w:r>
    </w:p>
    <w:p w14:paraId="7218261E">
      <w:pPr>
        <w:spacing w:line="252" w:lineRule="auto"/>
        <w:rPr>
          <w:color w:val="000000" w:themeColor="text1"/>
          <w14:textFill>
            <w14:solidFill>
              <w14:schemeClr w14:val="tx1"/>
            </w14:solidFill>
          </w14:textFill>
        </w:rPr>
      </w:pPr>
      <w:r>
        <w:rPr>
          <w:color w:val="000000" w:themeColor="text1"/>
          <w14:textFill>
            <w14:solidFill>
              <w14:schemeClr w14:val="tx1"/>
            </w14:solidFill>
          </w14:textFill>
        </w:rPr>
        <w:t>4．关于细胞分化、衰老和死亡的叙述正确的是</w:t>
      </w:r>
    </w:p>
    <w:p w14:paraId="6D5D8E81">
      <w:pPr>
        <w:spacing w:line="252" w:lineRule="auto"/>
        <w:ind w:left="300"/>
        <w:rPr>
          <w:color w:val="000000" w:themeColor="text1"/>
          <w14:textFill>
            <w14:solidFill>
              <w14:schemeClr w14:val="tx1"/>
            </w14:solidFill>
          </w14:textFill>
        </w:rPr>
      </w:pPr>
      <w:r>
        <w:rPr>
          <w:color w:val="000000" w:themeColor="text1"/>
          <w14:textFill>
            <w14:solidFill>
              <w14:schemeClr w14:val="tx1"/>
            </w14:solidFill>
          </w14:textFill>
        </w:rPr>
        <w:t>A．细胞分化可以改变细胞的种类和数目</w:t>
      </w:r>
    </w:p>
    <w:p w14:paraId="2C7FC9EF">
      <w:pPr>
        <w:spacing w:line="252" w:lineRule="auto"/>
        <w:ind w:left="300"/>
        <w:rPr>
          <w:color w:val="000000" w:themeColor="text1"/>
          <w14:textFill>
            <w14:solidFill>
              <w14:schemeClr w14:val="tx1"/>
            </w14:solidFill>
          </w14:textFill>
        </w:rPr>
      </w:pPr>
      <w:r>
        <w:rPr>
          <w:color w:val="000000" w:themeColor="text1"/>
          <w14:textFill>
            <w14:solidFill>
              <w14:schemeClr w14:val="tx1"/>
            </w14:solidFill>
          </w14:textFill>
        </w:rPr>
        <w:t>B．衰老细胞的细胞核体积增大，提高了染色体上基因的表达量</w:t>
      </w:r>
    </w:p>
    <w:p w14:paraId="76CF853B">
      <w:pPr>
        <w:spacing w:line="252" w:lineRule="auto"/>
        <w:ind w:left="300"/>
        <w:rPr>
          <w:color w:val="000000" w:themeColor="text1"/>
          <w14:textFill>
            <w14:solidFill>
              <w14:schemeClr w14:val="tx1"/>
            </w14:solidFill>
          </w14:textFill>
        </w:rPr>
      </w:pPr>
      <w:r>
        <w:rPr>
          <w:color w:val="000000" w:themeColor="text1"/>
          <w14:textFill>
            <w14:solidFill>
              <w14:schemeClr w14:val="tx1"/>
            </w14:solidFill>
          </w14:textFill>
        </w:rPr>
        <w:t>C．人类许多疾病的发生，可能与细胞自噬发生障碍有关</w:t>
      </w:r>
    </w:p>
    <w:p w14:paraId="7BB3302A">
      <w:pPr>
        <w:spacing w:line="252" w:lineRule="auto"/>
        <w:ind w:left="300"/>
        <w:rPr>
          <w:color w:val="000000" w:themeColor="text1"/>
          <w14:textFill>
            <w14:solidFill>
              <w14:schemeClr w14:val="tx1"/>
            </w14:solidFill>
          </w14:textFill>
        </w:rPr>
      </w:pPr>
      <w:r>
        <w:rPr>
          <w:color w:val="000000" w:themeColor="text1"/>
          <w14:textFill>
            <w14:solidFill>
              <w14:schemeClr w14:val="tx1"/>
            </w14:solidFill>
          </w14:textFill>
        </w:rPr>
        <w:t>D．造血干细胞分化为各种血细胞体现了细胞的全能性</w:t>
      </w:r>
    </w:p>
    <w:p w14:paraId="6ECE048C">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4B0547C2">
      <w:pPr>
        <w:ind w:left="315" w:hanging="315" w:hangingChars="150"/>
        <w:rPr>
          <w:color w:val="000000" w:themeColor="text1"/>
          <w14:textFill>
            <w14:solidFill>
              <w14:schemeClr w14:val="tx1"/>
            </w14:solidFill>
          </w14:textFill>
        </w:rPr>
      </w:pPr>
      <w:r>
        <w:rPr>
          <w:color w:val="000000" w:themeColor="text1"/>
          <w14:textFill>
            <w14:solidFill>
              <w14:schemeClr w14:val="tx1"/>
            </w14:solidFill>
          </w14:textFill>
        </w:rPr>
        <w:t>5．某鳞翅目昆虫的基因型为BbDd，用红色荧光标记B/b基因，用绿色荧光标记D/d基因，再置于不含荧光的培养基中培养。现观察到某细胞中只含有2个红色荧光和2个绿色荧光，不考虑染色体变异，下列说法错误的是</w:t>
      </w:r>
    </w:p>
    <w:p w14:paraId="19184B67">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A．该细胞可能是经过两次有丝分裂后产生的子细胞之一</w:t>
      </w:r>
    </w:p>
    <w:p w14:paraId="59102E9A">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B．若荧光</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在一条染色体上，则该细胞中无同源染色体</w:t>
      </w:r>
    </w:p>
    <w:p w14:paraId="7EC3B209">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C．若荧光</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在两条染色体上，则该细胞</w:t>
      </w:r>
      <w:r>
        <w:rPr>
          <w:rFonts w:hint="eastAsia"/>
          <w:color w:val="000000" w:themeColor="text1"/>
          <w14:textFill>
            <w14:solidFill>
              <w14:schemeClr w14:val="tx1"/>
            </w14:solidFill>
          </w14:textFill>
        </w:rPr>
        <w:t>可能</w:t>
      </w:r>
      <w:r>
        <w:rPr>
          <w:color w:val="000000" w:themeColor="text1"/>
          <w14:textFill>
            <w14:solidFill>
              <w14:schemeClr w14:val="tx1"/>
            </w14:solidFill>
          </w14:textFill>
        </w:rPr>
        <w:t>有1或2个染色体组</w:t>
      </w:r>
    </w:p>
    <w:p w14:paraId="57FA9491">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D．若荧光</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在四条染色体上，则该细胞一定没有染色单体</w:t>
      </w:r>
    </w:p>
    <w:p w14:paraId="5CD76FD5">
      <w:pPr>
        <w:ind w:left="315" w:hanging="315" w:hangingChars="150"/>
        <w:rPr>
          <w:color w:val="000000" w:themeColor="text1"/>
          <w14:textFill>
            <w14:solidFill>
              <w14:schemeClr w14:val="tx1"/>
            </w14:solidFill>
          </w14:textFill>
        </w:rPr>
      </w:pPr>
      <w:r>
        <w:rPr>
          <w:color w:val="000000" w:themeColor="text1"/>
          <w14:textFill>
            <w14:solidFill>
              <w14:schemeClr w14:val="tx1"/>
            </w14:solidFill>
          </w14:textFill>
        </w:rPr>
        <w:t>6．</w:t>
      </w:r>
      <w:r>
        <w:t>当机体细胞收到来自免疫系统的危险信号</w:t>
      </w:r>
      <w:r>
        <w:rPr>
          <w:rFonts w:hint="eastAsia"/>
        </w:rPr>
        <w:t>（如肿瘤）</w:t>
      </w:r>
      <w:r>
        <w:t>时，它们的核糖体会变为含有P-Stalk</w:t>
      </w:r>
      <w:r>
        <w:rPr>
          <w:rFonts w:hint="eastAsia"/>
        </w:rPr>
        <w:t>蛋白质的复合体</w:t>
      </w:r>
      <w:r>
        <w:t>的核糖体（简称PSR），结构如图所示。PSR</w:t>
      </w:r>
      <w:r>
        <w:rPr>
          <w:rFonts w:hint="eastAsia"/>
        </w:rPr>
        <w:t>会</w:t>
      </w:r>
      <w:r>
        <w:t>优先翻译在免疫监视过程中发挥重要作用的mRNA。下列相关叙述错误的是</w:t>
      </w:r>
    </w:p>
    <w:p w14:paraId="39CB4C2B">
      <w:pPr>
        <w:jc w:val="center"/>
        <w:rPr>
          <w:color w:val="000000" w:themeColor="text1"/>
          <w14:textFill>
            <w14:solidFill>
              <w14:schemeClr w14:val="tx1"/>
            </w14:solidFill>
          </w14:textFill>
        </w:rPr>
      </w:pPr>
      <w:r>
        <w:rPr>
          <w:rFonts w:eastAsia="Times New Roman"/>
          <w:kern w:val="0"/>
          <w:sz w:val="24"/>
        </w:rPr>
        <w:drawing>
          <wp:inline distT="0" distB="0" distL="114300" distR="114300">
            <wp:extent cx="1558925" cy="773430"/>
            <wp:effectExtent l="0" t="0" r="317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1558925" cy="773430"/>
                    </a:xfrm>
                    <a:prstGeom prst="rect">
                      <a:avLst/>
                    </a:prstGeom>
                  </pic:spPr>
                </pic:pic>
              </a:graphicData>
            </a:graphic>
          </wp:inline>
        </w:drawing>
      </w:r>
    </w:p>
    <w:p w14:paraId="46B33BAC">
      <w:pPr>
        <w:ind w:firstLine="315" w:firstLineChars="150"/>
      </w:pPr>
      <w:r>
        <w:t>A．</w:t>
      </w:r>
      <w:r>
        <w:rPr>
          <w:rFonts w:hint="eastAsia"/>
        </w:rPr>
        <w:t>翻译过程图中核糖体沿着mRNA向右移动</w:t>
      </w:r>
    </w:p>
    <w:p w14:paraId="4953B3E8">
      <w:pPr>
        <w:ind w:firstLine="315" w:firstLineChars="150"/>
      </w:pPr>
      <w:r>
        <w:t>B．</w:t>
      </w:r>
      <w:r>
        <w:rPr>
          <w:rFonts w:hint="eastAsia"/>
        </w:rPr>
        <w:t>与转录相比，该过程特有的碱基互补配对方式为A-U</w:t>
      </w:r>
    </w:p>
    <w:p w14:paraId="0B34DC4F">
      <w:pPr>
        <w:ind w:firstLine="315" w:firstLineChars="150"/>
      </w:pPr>
      <w:r>
        <w:t>C．P-Stalk</w:t>
      </w:r>
      <w:r>
        <w:rPr>
          <w:rFonts w:hint="eastAsia"/>
        </w:rPr>
        <w:t>蛋白质可能具有识别</w:t>
      </w:r>
      <w:r>
        <w:t>免疫监视过程中发挥重要作用的mRNA</w:t>
      </w:r>
      <w:r>
        <w:rPr>
          <w:rFonts w:hint="eastAsia"/>
        </w:rPr>
        <w:t>的能力</w:t>
      </w:r>
    </w:p>
    <w:p w14:paraId="1856FEBE">
      <w:pPr>
        <w:ind w:firstLine="315" w:firstLineChars="150"/>
        <w:rPr>
          <w:color w:val="000000" w:themeColor="text1"/>
          <w14:textFill>
            <w14:solidFill>
              <w14:schemeClr w14:val="tx1"/>
            </w14:solidFill>
          </w14:textFill>
        </w:rPr>
      </w:pPr>
      <w:r>
        <w:t>D．肿瘤细胞可能</w:t>
      </w:r>
      <w:r>
        <w:rPr>
          <w:rFonts w:hint="eastAsia"/>
        </w:rPr>
        <w:t>会</w:t>
      </w:r>
      <w:r>
        <w:t>通过</w:t>
      </w:r>
      <w:r>
        <w:rPr>
          <w:rFonts w:hint="eastAsia"/>
        </w:rPr>
        <w:t>下</w:t>
      </w:r>
      <w:r>
        <w:t>调</w:t>
      </w:r>
      <w:r>
        <w:rPr>
          <w:rFonts w:hint="eastAsia"/>
        </w:rPr>
        <w:t>免疫细胞</w:t>
      </w:r>
      <w:r>
        <w:t>P-Stalk蛋白的表达水平</w:t>
      </w:r>
      <w:r>
        <w:rPr>
          <w:rFonts w:hint="eastAsia"/>
        </w:rPr>
        <w:t>来</w:t>
      </w:r>
      <w:r>
        <w:t>逃避免疫系统的监视</w:t>
      </w:r>
    </w:p>
    <w:p w14:paraId="0ACFA599">
      <w:pPr>
        <w:rPr>
          <w:color w:val="000000" w:themeColor="text1"/>
          <w14:textFill>
            <w14:solidFill>
              <w14:schemeClr w14:val="tx1"/>
            </w14:solidFill>
          </w14:textFill>
        </w:rPr>
      </w:pPr>
      <w:r>
        <w:rPr>
          <w:color w:val="000000" w:themeColor="text1"/>
          <w14:textFill>
            <w14:solidFill>
              <w14:schemeClr w14:val="tx1"/>
            </w14:solidFill>
          </w14:textFill>
        </w:rPr>
        <w:t xml:space="preserve">7．下列有关生物科学史叙述错误的是 </w:t>
      </w:r>
    </w:p>
    <w:p w14:paraId="066FD4D9">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A．斯他林和贝利斯将小肠黏膜和稀盐酸制成的提取液，注射到狗的静脉中，发现了胰</w:t>
      </w:r>
    </w:p>
    <w:p w14:paraId="32C7E03E">
      <w:pPr>
        <w:ind w:firstLine="672" w:firstLineChars="320"/>
        <w:rPr>
          <w:color w:val="000000" w:themeColor="text1"/>
          <w14:textFill>
            <w14:solidFill>
              <w14:schemeClr w14:val="tx1"/>
            </w14:solidFill>
          </w14:textFill>
        </w:rPr>
      </w:pPr>
      <w:r>
        <w:rPr>
          <w:color w:val="000000" w:themeColor="text1"/>
          <w14:textFill>
            <w14:solidFill>
              <w14:schemeClr w14:val="tx1"/>
            </w14:solidFill>
          </w14:textFill>
        </w:rPr>
        <w:t>液分泌受神经和体液共同调节</w:t>
      </w:r>
    </w:p>
    <w:p w14:paraId="53EE96E0">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B．希尔发现离体的叶绿体在适宜条件下发生水的光解并释放氧气</w:t>
      </w:r>
    </w:p>
    <w:p w14:paraId="21F56D30">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C．摩尔根和他的学生们将基因定位在染色体上，并发现基因在染色体上呈线性排列</w:t>
      </w:r>
    </w:p>
    <w:p w14:paraId="16A1243E">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D．克里克以T4噬菌体为实验材料，证明了遗传密码中三个碱基编码一个氨基酸</w:t>
      </w:r>
    </w:p>
    <w:p w14:paraId="006D8141">
      <w:pPr>
        <w:rPr>
          <w:color w:val="000000" w:themeColor="text1"/>
          <w14:textFill>
            <w14:solidFill>
              <w14:schemeClr w14:val="tx1"/>
            </w14:solidFill>
          </w14:textFill>
        </w:rPr>
      </w:pPr>
      <w:r>
        <w:rPr>
          <w:color w:val="000000" w:themeColor="text1"/>
          <w14:textFill>
            <w14:solidFill>
              <w14:schemeClr w14:val="tx1"/>
            </w14:solidFill>
          </w14:textFill>
        </w:rPr>
        <w:t xml:space="preserve">8．下列有关变异、育种和进化的叙述正确的是 </w:t>
      </w:r>
    </w:p>
    <w:p w14:paraId="6F9B7511">
      <w:pPr>
        <w:ind w:left="300"/>
        <w:rPr>
          <w:color w:val="000000" w:themeColor="text1"/>
          <w14:textFill>
            <w14:solidFill>
              <w14:schemeClr w14:val="tx1"/>
            </w14:solidFill>
          </w14:textFill>
        </w:rPr>
      </w:pPr>
      <w:r>
        <w:rPr>
          <w:color w:val="000000" w:themeColor="text1"/>
          <w14:textFill>
            <w14:solidFill>
              <w14:schemeClr w14:val="tx1"/>
            </w14:solidFill>
          </w14:textFill>
        </w:rPr>
        <w:t>A．杂交育种和基因工程育种的原理均为基因重组</w:t>
      </w:r>
    </w:p>
    <w:p w14:paraId="6577CCA2">
      <w:pPr>
        <w:ind w:left="300"/>
        <w:rPr>
          <w:color w:val="000000" w:themeColor="text1"/>
          <w14:textFill>
            <w14:solidFill>
              <w14:schemeClr w14:val="tx1"/>
            </w14:solidFill>
          </w14:textFill>
        </w:rPr>
      </w:pPr>
      <w:r>
        <w:rPr>
          <w:color w:val="000000" w:themeColor="text1"/>
          <w14:textFill>
            <w14:solidFill>
              <w14:schemeClr w14:val="tx1"/>
            </w14:solidFill>
          </w14:textFill>
        </w:rPr>
        <w:t>B．基因突变如果发生在非基因片段，则不会导致生物性状的改变</w:t>
      </w:r>
    </w:p>
    <w:p w14:paraId="56F284E4">
      <w:pPr>
        <w:ind w:left="300"/>
        <w:rPr>
          <w:color w:val="000000" w:themeColor="text1"/>
          <w14:textFill>
            <w14:solidFill>
              <w14:schemeClr w14:val="tx1"/>
            </w14:solidFill>
          </w14:textFill>
        </w:rPr>
      </w:pPr>
      <w:r>
        <w:rPr>
          <w:color w:val="000000" w:themeColor="text1"/>
          <w14:textFill>
            <w14:solidFill>
              <w14:schemeClr w14:val="tx1"/>
            </w14:solidFill>
          </w14:textFill>
        </w:rPr>
        <w:t>C．单倍体育种和多倍体育种中，秋水仙素处理的对象相同</w:t>
      </w:r>
    </w:p>
    <w:p w14:paraId="78EE653C">
      <w:pPr>
        <w:ind w:left="300"/>
        <w:rPr>
          <w:color w:val="000000" w:themeColor="text1"/>
          <w:szCs w:val="21"/>
          <w14:textFill>
            <w14:solidFill>
              <w14:schemeClr w14:val="tx1"/>
            </w14:solidFill>
          </w14:textFill>
        </w:rPr>
      </w:pPr>
      <w:r>
        <w:rPr>
          <w:color w:val="000000" w:themeColor="text1"/>
          <w14:textFill>
            <w14:solidFill>
              <w14:schemeClr w14:val="tx1"/>
            </w14:solidFill>
          </w14:textFill>
        </w:rPr>
        <w:t>D．</w:t>
      </w:r>
      <w:r>
        <w:rPr>
          <w:color w:val="000000" w:themeColor="text1"/>
          <w:szCs w:val="21"/>
          <w:shd w:val="clear" w:color="auto" w:fill="FFFFFF"/>
          <w14:textFill>
            <w14:solidFill>
              <w14:schemeClr w14:val="tx1"/>
            </w14:solidFill>
          </w14:textFill>
        </w:rPr>
        <w:t>自然选择可以定向改变种群的基因频率，但不能决定生物进化的方向</w:t>
      </w:r>
    </w:p>
    <w:p w14:paraId="7FCBFDFC">
      <w:pPr>
        <w:ind w:left="315" w:hanging="315" w:hangingChars="1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9．长时间熬夜会使精神压力增大，这种压力会导致人体内交感神经被过度激活，进而机体释放大量去甲肾上腺素</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NE</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使黑色素细胞干细胞</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McSC</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迅速增殖、迁移并耗竭，引起头发变白，相关调节机制如图所示。</w:t>
      </w:r>
      <w:r>
        <w:rPr>
          <w:color w:val="000000" w:themeColor="text1"/>
          <w14:textFill>
            <w14:solidFill>
              <w14:schemeClr w14:val="tx1"/>
            </w14:solidFill>
          </w14:textFill>
        </w:rPr>
        <w:t>下列叙述错误的是</w:t>
      </w:r>
    </w:p>
    <w:p w14:paraId="64B5E158">
      <w:pPr>
        <w:jc w:val="center"/>
        <w:rPr>
          <w:color w:val="000000" w:themeColor="text1"/>
          <w14:textFill>
            <w14:solidFill>
              <w14:schemeClr w14:val="tx1"/>
            </w14:solidFill>
          </w14:textFill>
        </w:rPr>
      </w:pPr>
      <w:r>
        <w:rPr>
          <w:rFonts w:eastAsiaTheme="minorEastAsia"/>
          <w:color w:val="000000" w:themeColor="text1"/>
          <w:kern w:val="0"/>
          <w:sz w:val="24"/>
          <w14:textFill>
            <w14:solidFill>
              <w14:schemeClr w14:val="tx1"/>
            </w14:solidFill>
          </w14:textFill>
        </w:rPr>
        <w:drawing>
          <wp:inline distT="0" distB="0" distL="114300" distR="114300">
            <wp:extent cx="3529330" cy="722630"/>
            <wp:effectExtent l="0" t="0" r="0" b="127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7"/>
                    <a:srcRect b="19061"/>
                    <a:stretch>
                      <a:fillRect/>
                    </a:stretch>
                  </pic:blipFill>
                  <pic:spPr>
                    <a:xfrm>
                      <a:off x="0" y="0"/>
                      <a:ext cx="3529330" cy="722630"/>
                    </a:xfrm>
                    <a:prstGeom prst="rect">
                      <a:avLst/>
                    </a:prstGeom>
                  </pic:spPr>
                </pic:pic>
              </a:graphicData>
            </a:graphic>
          </wp:inline>
        </w:drawing>
      </w:r>
    </w:p>
    <w:p w14:paraId="68F246FF">
      <w:pPr>
        <w:ind w:left="300"/>
        <w:rPr>
          <w:color w:val="000000" w:themeColor="text1"/>
          <w14:textFill>
            <w14:solidFill>
              <w14:schemeClr w14:val="tx1"/>
            </w14:solidFill>
          </w14:textFill>
        </w:rPr>
      </w:pPr>
      <w:r>
        <w:rPr>
          <w:color w:val="000000" w:themeColor="text1"/>
          <w14:textFill>
            <w14:solidFill>
              <w14:schemeClr w14:val="tx1"/>
            </w14:solidFill>
          </w14:textFill>
        </w:rPr>
        <w:t>A．图中的交感神经均属于脊神经</w:t>
      </w:r>
    </w:p>
    <w:p w14:paraId="5324C770">
      <w:pPr>
        <w:ind w:left="300"/>
        <w:rPr>
          <w:color w:val="000000" w:themeColor="text1"/>
          <w14:textFill>
            <w14:solidFill>
              <w14:schemeClr w14:val="tx1"/>
            </w14:solidFill>
          </w14:textFill>
        </w:rPr>
      </w:pPr>
      <w:r>
        <w:rPr>
          <w:color w:val="000000" w:themeColor="text1"/>
          <w14:textFill>
            <w14:solidFill>
              <w14:schemeClr w14:val="tx1"/>
            </w14:solidFill>
          </w14:textFill>
        </w:rPr>
        <w:t>B．去甲肾上腺素可以由神经细胞和肾上腺髓质细胞分泌</w:t>
      </w:r>
    </w:p>
    <w:p w14:paraId="17DEF2B1">
      <w:pPr>
        <w:ind w:left="300"/>
        <w:rPr>
          <w:color w:val="000000" w:themeColor="text1"/>
          <w14:textFill>
            <w14:solidFill>
              <w14:schemeClr w14:val="tx1"/>
            </w14:solidFill>
          </w14:textFill>
        </w:rPr>
      </w:pPr>
      <w:r>
        <w:rPr>
          <w:color w:val="000000" w:themeColor="text1"/>
          <w14:textFill>
            <w14:solidFill>
              <w14:schemeClr w14:val="tx1"/>
            </w14:solidFill>
          </w14:textFill>
        </w:rPr>
        <w:t>C．图示过程依次通过脑、脊髓来调控NE的分泌属于激素的分级调节</w:t>
      </w:r>
    </w:p>
    <w:p w14:paraId="5B09A741">
      <w:pPr>
        <w:ind w:left="300"/>
        <w:rPr>
          <w:color w:val="000000" w:themeColor="text1"/>
          <w:szCs w:val="21"/>
          <w14:textFill>
            <w14:solidFill>
              <w14:schemeClr w14:val="tx1"/>
            </w14:solidFill>
          </w14:textFill>
        </w:rPr>
      </w:pPr>
      <w:r>
        <w:rPr>
          <w:color w:val="000000" w:themeColor="text1"/>
          <w14:textFill>
            <w14:solidFill>
              <w14:schemeClr w14:val="tx1"/>
            </w14:solidFill>
          </w14:textFill>
        </w:rPr>
        <w:t>D．长期熬夜还会使心跳加快，血压升高，胃肠消化功能减弱</w:t>
      </w:r>
    </w:p>
    <w:p w14:paraId="6311F7BF">
      <w:pPr>
        <w:rPr>
          <w:color w:val="000000" w:themeColor="text1"/>
          <w14:textFill>
            <w14:solidFill>
              <w14:schemeClr w14:val="tx1"/>
            </w14:solidFill>
          </w14:textFill>
        </w:rPr>
      </w:pPr>
      <w:r>
        <w:rPr>
          <w:color w:val="000000" w:themeColor="text1"/>
          <w14:textFill>
            <w14:solidFill>
              <w14:schemeClr w14:val="tx1"/>
            </w14:solidFill>
          </w14:textFill>
        </w:rPr>
        <w:t>10．下列有关植物生命活动的调节的叙述错误的是</w:t>
      </w:r>
    </w:p>
    <w:p w14:paraId="5D27471B">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单子叶植物</w:t>
      </w:r>
      <w:r>
        <w:rPr>
          <w:color w:val="000000" w:themeColor="text1"/>
          <w14:textFill>
            <w14:solidFill>
              <w14:schemeClr w14:val="tx1"/>
            </w14:solidFill>
          </w14:textFill>
        </w:rPr>
        <w:t>种子萌发时，胚芽鞘首先钻出地面，出土后还能进行光合作用</w:t>
      </w:r>
    </w:p>
    <w:p w14:paraId="73553EC5">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B．吲哚乙酸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IAA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、苯乙酸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PAA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、吲哚丁酸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IBA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等都属于生长素</w:t>
      </w:r>
    </w:p>
    <w:p w14:paraId="410E4225">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C．生长素主要促进细胞核的分裂，细胞分裂素主要促进细胞质的分裂</w:t>
      </w:r>
    </w:p>
    <w:p w14:paraId="5CFF72D4">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D．温度都是通过影响酶的活性来影响植物代谢，从而调节植物生命活动</w:t>
      </w:r>
    </w:p>
    <w:p w14:paraId="0A47C339">
      <w:pPr>
        <w:rPr>
          <w:color w:val="000000" w:themeColor="text1"/>
          <w14:textFill>
            <w14:solidFill>
              <w14:schemeClr w14:val="tx1"/>
            </w14:solidFill>
          </w14:textFill>
        </w:rPr>
      </w:pPr>
      <w:r>
        <w:rPr>
          <w:color w:val="000000" w:themeColor="text1"/>
          <w14:textFill>
            <w14:solidFill>
              <w14:schemeClr w14:val="tx1"/>
            </w14:solidFill>
          </w14:textFill>
        </w:rPr>
        <w:t>11．下列有关实验操作的叙述正确的是</w:t>
      </w:r>
    </w:p>
    <w:p w14:paraId="55C6D525">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A．探究酵母菌种群数量的变化时，为避免实验结果偏小，可使用台盼蓝染液染色</w:t>
      </w:r>
    </w:p>
    <w:p w14:paraId="5ECF3A22">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B．在绿叶中色素的分离实验中，可利用石油醚、丙酮、苯的混合液进行层析</w:t>
      </w:r>
    </w:p>
    <w:p w14:paraId="64BFD3F7">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C．利用洋葱鳞片叶细胞观察细胞质环流时，可以叶绿体的运动作为标志</w:t>
      </w:r>
    </w:p>
    <w:p w14:paraId="6892D95F">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D．凝胶电泳鉴定PCR产物时，将扩增产物与凝胶载样缓冲液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内含核酸染料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混合，</w:t>
      </w:r>
    </w:p>
    <w:p w14:paraId="476BAF9D">
      <w:pPr>
        <w:ind w:firstLine="735" w:firstLineChars="350"/>
        <w:rPr>
          <w:color w:val="000000" w:themeColor="text1"/>
          <w14:textFill>
            <w14:solidFill>
              <w14:schemeClr w14:val="tx1"/>
            </w14:solidFill>
          </w14:textFill>
        </w:rPr>
      </w:pPr>
      <w:r>
        <w:rPr>
          <w:color w:val="000000" w:themeColor="text1"/>
          <w14:textFill>
            <w14:solidFill>
              <w14:schemeClr w14:val="tx1"/>
            </w14:solidFill>
          </w14:textFill>
        </w:rPr>
        <w:t>再缓慢注入凝胶的加样孔内</w:t>
      </w:r>
    </w:p>
    <w:p w14:paraId="6111B952">
      <w:pPr>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12．</w:t>
      </w:r>
      <w:r>
        <w:rPr>
          <w:color w:val="000000" w:themeColor="text1"/>
          <w:szCs w:val="21"/>
          <w:shd w:val="clear" w:color="auto" w:fill="FFFFFF"/>
          <w14:textFill>
            <w14:solidFill>
              <w14:schemeClr w14:val="tx1"/>
            </w14:solidFill>
          </w14:textFill>
        </w:rPr>
        <w:t>稻田养鱼养鸭是一种能降低生产成本、增加生态效益的生态农业模式。下图是某稻田生态系统部分</w:t>
      </w:r>
      <w:r>
        <w:rPr>
          <w:color w:val="000000" w:themeColor="text1"/>
          <w:szCs w:val="21"/>
          <w14:textFill>
            <w14:solidFill>
              <w14:schemeClr w14:val="tx1"/>
            </w14:solidFill>
          </w14:textFill>
        </w:rPr>
        <w:t>能量流动过程</w:t>
      </w:r>
      <w:r>
        <w:rPr>
          <w:color w:val="000000" w:themeColor="text1"/>
          <w:szCs w:val="21"/>
          <w:shd w:val="clear" w:color="auto" w:fill="FFFFFF"/>
          <w14:textFill>
            <w14:solidFill>
              <w14:schemeClr w14:val="tx1"/>
            </w14:solidFill>
          </w14:textFill>
        </w:rPr>
        <w:t>图，下列相关叙述错误的是</w:t>
      </w:r>
    </w:p>
    <w:p w14:paraId="1F3CDB97">
      <w:pPr>
        <w:jc w:val="center"/>
        <w:rPr>
          <w:rFonts w:eastAsia="Times New Roman"/>
          <w:color w:val="000000" w:themeColor="text1"/>
          <w:kern w:val="0"/>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4588510" cy="1771015"/>
            <wp:effectExtent l="0" t="0" r="254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588510" cy="1771015"/>
                    </a:xfrm>
                    <a:prstGeom prst="rect">
                      <a:avLst/>
                    </a:prstGeom>
                    <a:noFill/>
                    <a:ln w="9525">
                      <a:noFill/>
                    </a:ln>
                  </pic:spPr>
                </pic:pic>
              </a:graphicData>
            </a:graphic>
          </wp:inline>
        </w:drawing>
      </w:r>
    </w:p>
    <w:p w14:paraId="38E96103">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A．间作或套种等措施可以提高光能利用率，增加流入该生态系统的总能量</w:t>
      </w:r>
    </w:p>
    <w:p w14:paraId="1F60C0B4">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B．鱼和鸭属于该生态系统的初级消费者和次级消费者</w:t>
      </w:r>
    </w:p>
    <w:p w14:paraId="24A6DC91">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C．流经该生态系统的总能量等于Q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之和</w:t>
      </w:r>
    </w:p>
    <w:p w14:paraId="01FC8CE7">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D．该生态农业模式体现了生态工程的自生、循环、整体等原理</w:t>
      </w:r>
    </w:p>
    <w:p w14:paraId="7926F495">
      <w:pPr>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．土壤中有丰富的微生物，若要利用其中某种微生物，则需要进行菌种的分离和纯化，过程如图。下列相关叙述正确的是</w:t>
      </w:r>
    </w:p>
    <w:p w14:paraId="06E21D13">
      <w:pPr>
        <w:ind w:left="300"/>
        <w:jc w:val="center"/>
        <w:rPr>
          <w:rFonts w:eastAsia="Times New Roman"/>
          <w:color w:val="000000" w:themeColor="text1"/>
          <w:kern w:val="0"/>
          <w:sz w:val="24"/>
          <w14:textFill>
            <w14:solidFill>
              <w14:schemeClr w14:val="tx1"/>
            </w14:solidFill>
          </w14:textFill>
        </w:rPr>
      </w:pPr>
      <w:r>
        <w:rPr>
          <w:rFonts w:eastAsia="Times New Roman"/>
          <w:color w:val="000000" w:themeColor="text1"/>
          <w:kern w:val="0"/>
          <w:sz w:val="24"/>
          <w14:textFill>
            <w14:solidFill>
              <w14:schemeClr w14:val="tx1"/>
            </w14:solidFill>
          </w14:textFill>
        </w:rPr>
        <w:drawing>
          <wp:inline distT="0" distB="0" distL="114300" distR="114300">
            <wp:extent cx="2439670" cy="156400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9"/>
                    <a:stretch>
                      <a:fillRect/>
                    </a:stretch>
                  </pic:blipFill>
                  <pic:spPr>
                    <a:xfrm>
                      <a:off x="0" y="0"/>
                      <a:ext cx="2439670" cy="1564005"/>
                    </a:xfrm>
                    <a:prstGeom prst="rect">
                      <a:avLst/>
                    </a:prstGeom>
                  </pic:spPr>
                </pic:pic>
              </a:graphicData>
            </a:graphic>
          </wp:inline>
        </w:drawing>
      </w:r>
    </w:p>
    <w:p w14:paraId="6C087BB1">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A．实验结果表明，5g土样中的活菌总数约为1.1×10</w:t>
      </w:r>
      <w:r>
        <w:rPr>
          <w:color w:val="000000" w:themeColor="text1"/>
          <w:vertAlign w:val="superscript"/>
          <w14:textFill>
            <w14:solidFill>
              <w14:schemeClr w14:val="tx1"/>
            </w14:solidFill>
          </w14:textFill>
        </w:rPr>
        <w:t>8</w:t>
      </w:r>
      <w:r>
        <w:rPr>
          <w:color w:val="000000" w:themeColor="text1"/>
          <w14:textFill>
            <w14:solidFill>
              <w14:schemeClr w14:val="tx1"/>
            </w14:solidFill>
          </w14:textFill>
        </w:rPr>
        <w:t>个</w:t>
      </w:r>
    </w:p>
    <w:p w14:paraId="7004CB6B">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B．可以根据平板上的菌落特征，挑取相应菌落在平板上多次划线纯化所需微生物</w:t>
      </w:r>
    </w:p>
    <w:p w14:paraId="6B01C47C">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C．可以利用血细胞计数板对锥形瓶中的菌体进行直接计算</w:t>
      </w:r>
    </w:p>
    <w:p w14:paraId="4D0E394E">
      <w:pPr>
        <w:ind w:firstLine="420" w:firstLineChars="200"/>
        <w:rPr>
          <w:color w:val="000000" w:themeColor="text1"/>
          <w:szCs w:val="21"/>
          <w:shd w:val="clear" w:color="auto" w:fill="FFFFFF"/>
          <w14:textFill>
            <w14:solidFill>
              <w14:schemeClr w14:val="tx1"/>
            </w14:solidFill>
          </w14:textFill>
        </w:rPr>
      </w:pPr>
      <w:r>
        <w:rPr>
          <w:color w:val="000000" w:themeColor="text1"/>
          <w14:textFill>
            <w14:solidFill>
              <w14:schemeClr w14:val="tx1"/>
            </w14:solidFill>
          </w14:textFill>
        </w:rPr>
        <w:t>D．若筛选土壤中能分解尿素的细菌，需要</w:t>
      </w:r>
      <w:r>
        <w:rPr>
          <w:rFonts w:hint="eastAsia"/>
          <w:color w:val="000000" w:themeColor="text1"/>
          <w14:textFill>
            <w14:solidFill>
              <w14:schemeClr w14:val="tx1"/>
            </w14:solidFill>
          </w14:textFill>
        </w:rPr>
        <w:t>将</w:t>
      </w:r>
      <w:r>
        <w:rPr>
          <w:color w:val="000000" w:themeColor="text1"/>
          <w14:textFill>
            <w14:solidFill>
              <w14:schemeClr w14:val="tx1"/>
            </w14:solidFill>
          </w14:textFill>
        </w:rPr>
        <w:t>尿素加入</w:t>
      </w:r>
      <w:r>
        <w:rPr>
          <w:rFonts w:hint="eastAsia"/>
          <w:color w:val="000000" w:themeColor="text1"/>
          <w14:textFill>
            <w14:solidFill>
              <w14:schemeClr w14:val="tx1"/>
            </w14:solidFill>
          </w14:textFill>
        </w:rPr>
        <w:t>图中的</w:t>
      </w:r>
      <w:r>
        <w:rPr>
          <w:color w:val="000000" w:themeColor="text1"/>
          <w14:textFill>
            <w14:solidFill>
              <w14:schemeClr w14:val="tx1"/>
            </w14:solidFill>
          </w14:textFill>
        </w:rPr>
        <w:t>锥形瓶和试管中</w:t>
      </w:r>
    </w:p>
    <w:p w14:paraId="5D0EB793">
      <w:pPr>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．细胞悬浮培养是将细胞接种于液体培养基中并保持良好分散状态的培养方式，细胞悬浮培养常在发酵罐等生物反应器中进行。下列叙述错误的是</w:t>
      </w:r>
    </w:p>
    <w:p w14:paraId="0540C6DD">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A．在动物细胞的悬浮培养过程中，可以适当添加抗生素来保持无菌的培养环境</w:t>
      </w:r>
    </w:p>
    <w:p w14:paraId="04986668">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B．利用发酵罐生产单细胞蛋白时，可以直接对细胞悬液进行过滤、离心得到产品</w:t>
      </w:r>
    </w:p>
    <w:p w14:paraId="2DC18EE4">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C．细胞产物的工厂化生产中，植物细胞培养也属于细胞悬浮培养</w:t>
      </w:r>
    </w:p>
    <w:p w14:paraId="63FCA048">
      <w:pPr>
        <w:ind w:firstLine="420" w:firstLineChars="200"/>
        <w:rPr>
          <w:color w:val="000000" w:themeColor="text1"/>
          <w:szCs w:val="21"/>
          <w:shd w:val="clear" w:color="auto" w:fill="FFFFFF"/>
          <w14:textFill>
            <w14:solidFill>
              <w14:schemeClr w14:val="tx1"/>
            </w14:solidFill>
          </w14:textFill>
        </w:rPr>
      </w:pPr>
      <w:r>
        <w:rPr>
          <w:color w:val="000000" w:themeColor="text1"/>
          <w14:textFill>
            <w14:solidFill>
              <w14:schemeClr w14:val="tx1"/>
            </w14:solidFill>
          </w14:textFill>
        </w:rPr>
        <w:t>D．悬浮培养的动物细胞在传代培养过程中需用胰蛋白酶处理</w:t>
      </w:r>
    </w:p>
    <w:p w14:paraId="1B2BBC53">
      <w:pPr>
        <w:ind w:left="420" w:hanging="420" w:hangingChars="200"/>
        <w:jc w:val="both"/>
        <w:rPr>
          <w:color w:val="000000" w:themeColor="text1"/>
          <w14:textFill>
            <w14:solidFill>
              <w14:schemeClr w14:val="tx1"/>
            </w14:solidFill>
          </w14:textFill>
        </w:rPr>
      </w:pPr>
      <w:r>
        <w:rPr>
          <w:color w:val="000000" w:themeColor="text1"/>
          <w14:textFill>
            <w14:solidFill>
              <w14:schemeClr w14:val="tx1"/>
            </w14:solidFill>
          </w14:textFill>
        </w:rPr>
        <w:t>15．采用焦磷酸测序法进行DNA测序的原理是：将待测DNA链固定到一个磁珠上，将磁珠包被在单个油水混合小滴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乳滴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中，在该乳滴里进行独立的DNA复制，四种脱氧核苷三磷酸依照T、A、C、G的顺序一个一个进入该乳滴，如果发生碱基配对，就会释放一个焦磷酸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PPi</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，PPi经过一系列酶促反应后发出荧光。下列说法错误的是</w:t>
      </w:r>
    </w:p>
    <w:p w14:paraId="6486ED66">
      <w:pPr>
        <w:jc w:val="center"/>
        <w:rPr>
          <w:rFonts w:eastAsia="Times New Roman"/>
          <w:color w:val="000000" w:themeColor="text1"/>
          <w:kern w:val="0"/>
          <w:sz w:val="24"/>
          <w14:textFill>
            <w14:solidFill>
              <w14:schemeClr w14:val="tx1"/>
            </w14:solidFill>
          </w14:textFill>
        </w:rPr>
      </w:pPr>
      <w:r>
        <w:rPr>
          <w:rFonts w:eastAsia="Times New Roman"/>
          <w:color w:val="000000" w:themeColor="text1"/>
          <w:kern w:val="0"/>
          <w:sz w:val="24"/>
          <w14:textFill>
            <w14:solidFill>
              <w14:schemeClr w14:val="tx1"/>
            </w14:solidFill>
          </w14:textFill>
        </w:rPr>
        <w:drawing>
          <wp:inline distT="0" distB="0" distL="114300" distR="114300">
            <wp:extent cx="2279650" cy="1596390"/>
            <wp:effectExtent l="0" t="0" r="6350" b="381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2279650" cy="1596390"/>
                    </a:xfrm>
                    <a:prstGeom prst="rect">
                      <a:avLst/>
                    </a:prstGeom>
                  </pic:spPr>
                </pic:pic>
              </a:graphicData>
            </a:graphic>
          </wp:inline>
        </w:drawing>
      </w:r>
    </w:p>
    <w:p w14:paraId="25A4216A">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A．图中的“酶”表示DNA聚合酶，“系列酶”包括荧光素酶等</w:t>
      </w:r>
    </w:p>
    <w:p w14:paraId="5E2B5B98">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B．该过程中，四种脱氧核苷三磷酸在提供原料的同时，还提供了能量</w:t>
      </w:r>
    </w:p>
    <w:p w14:paraId="190B4DE9">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该方法</w:t>
      </w:r>
      <w:r>
        <w:rPr>
          <w:color w:val="000000" w:themeColor="text1"/>
          <w:szCs w:val="21"/>
          <w14:textFill>
            <w14:solidFill>
              <w14:schemeClr w14:val="tx1"/>
            </w14:solidFill>
          </w14:textFill>
        </w:rPr>
        <w:t>对DNA进行测序，必须已知目标DNA的部分核苷酸序列</w:t>
      </w:r>
    </w:p>
    <w:p w14:paraId="72BEB184">
      <w:pPr>
        <w:ind w:firstLine="420" w:firstLineChars="200"/>
        <w:rPr>
          <w:color w:val="000000" w:themeColor="text1"/>
          <w:szCs w:val="21"/>
          <w:shd w:val="clear" w:color="auto" w:fill="FFFFFF"/>
          <w14:textFill>
            <w14:solidFill>
              <w14:schemeClr w14:val="tx1"/>
            </w14:solidFill>
          </w14:textFill>
        </w:rPr>
      </w:pPr>
      <w:r>
        <w:rPr>
          <w:color w:val="000000" w:themeColor="text1"/>
          <w:szCs w:val="21"/>
          <w14:textFill>
            <w14:solidFill>
              <w14:schemeClr w14:val="tx1"/>
            </w14:solidFill>
          </w14:textFill>
        </w:rPr>
        <w:t>D．</w:t>
      </w:r>
      <w:r>
        <w:rPr>
          <w:color w:val="000000" w:themeColor="text1"/>
          <w:kern w:val="0"/>
          <w:szCs w:val="21"/>
          <w14:textFill>
            <w14:solidFill>
              <w14:schemeClr w14:val="tx1"/>
            </w14:solidFill>
          </w14:textFill>
        </w:rPr>
        <w:t>对癌细胞中DNA进行测序，可以确定原癌基因是发生基因突变还是甲基化</w:t>
      </w:r>
    </w:p>
    <w:p w14:paraId="3C24C4C7">
      <w:pPr>
        <w:ind w:left="420" w:hanging="420" w:hangingChars="200"/>
        <w:jc w:val="both"/>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二、多项选择题：共4题，每题3分，共12分。每题有不止一个选项符合题意。每题全选对者得3分，选对但不全者得1分，错选或不答的得0分。</w:t>
      </w:r>
    </w:p>
    <w:p w14:paraId="5E92723D">
      <w:pPr>
        <w:ind w:left="420" w:hanging="420" w:hangingChars="200"/>
        <w:rPr>
          <w:rFonts w:eastAsiaTheme="minorEastAsia"/>
          <w:color w:val="000000" w:themeColor="text1"/>
          <w14:textFill>
            <w14:solidFill>
              <w14:schemeClr w14:val="tx1"/>
            </w14:solidFill>
          </w14:textFill>
        </w:rPr>
      </w:pPr>
      <w:r>
        <w:rPr>
          <w:color w:val="000000" w:themeColor="text1"/>
          <w:szCs w:val="22"/>
          <w14:textFill>
            <w14:solidFill>
              <w14:schemeClr w14:val="tx1"/>
            </w14:solidFill>
          </w14:textFill>
        </w:rPr>
        <w:t>16</w:t>
      </w:r>
      <w:r>
        <w:rPr>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人体脂肪</w:t>
      </w:r>
      <w:r>
        <w:rPr>
          <w:color w:val="000000" w:themeColor="text1"/>
          <w14:textFill>
            <w14:solidFill>
              <w14:schemeClr w14:val="tx1"/>
            </w14:solidFill>
          </w14:textFill>
        </w:rPr>
        <w:t>细胞</w:t>
      </w:r>
      <w:r>
        <w:rPr>
          <w:rFonts w:eastAsiaTheme="minorEastAsia"/>
          <w:color w:val="000000" w:themeColor="text1"/>
          <w14:textFill>
            <w14:solidFill>
              <w14:schemeClr w14:val="tx1"/>
            </w14:solidFill>
          </w14:textFill>
        </w:rPr>
        <w:t>中有一种转运蛋白UCP1，在</w:t>
      </w:r>
      <w:r>
        <w:rPr>
          <w:color w:val="000000" w:themeColor="text1"/>
          <w14:textFill>
            <w14:solidFill>
              <w14:schemeClr w14:val="tx1"/>
            </w14:solidFill>
          </w14:textFill>
        </w:rPr>
        <w:t>棕色</w:t>
      </w:r>
      <w:r>
        <w:rPr>
          <w:rFonts w:eastAsiaTheme="minorEastAsia"/>
          <w:color w:val="000000" w:themeColor="text1"/>
          <w14:textFill>
            <w14:solidFill>
              <w14:schemeClr w14:val="tx1"/>
            </w14:solidFill>
          </w14:textFill>
        </w:rPr>
        <w:t>脂肪</w:t>
      </w:r>
      <w:r>
        <w:rPr>
          <w:color w:val="000000" w:themeColor="text1"/>
          <w14:textFill>
            <w14:solidFill>
              <w14:schemeClr w14:val="tx1"/>
            </w14:solidFill>
          </w14:textFill>
        </w:rPr>
        <w:t>细胞</w:t>
      </w:r>
      <w:r>
        <w:rPr>
          <w:rFonts w:eastAsiaTheme="minorEastAsia"/>
          <w:color w:val="000000" w:themeColor="text1"/>
          <w14:textFill>
            <w14:solidFill>
              <w14:schemeClr w14:val="tx1"/>
            </w14:solidFill>
          </w14:textFill>
        </w:rPr>
        <w:t>中高表达，是白色</w:t>
      </w:r>
      <w:r>
        <w:rPr>
          <w:color w:val="000000" w:themeColor="text1"/>
          <w14:textFill>
            <w14:solidFill>
              <w14:schemeClr w14:val="tx1"/>
            </w14:solidFill>
          </w14:textFill>
        </w:rPr>
        <w:t>脂肪细胞</w:t>
      </w:r>
      <w:r>
        <w:rPr>
          <w:rFonts w:eastAsiaTheme="minorEastAsia"/>
          <w:color w:val="000000" w:themeColor="text1"/>
          <w14:textFill>
            <w14:solidFill>
              <w14:schemeClr w14:val="tx1"/>
            </w14:solidFill>
          </w14:textFill>
        </w:rPr>
        <w:t>棕色化的标志物，如图所示。</w:t>
      </w:r>
      <w:r>
        <w:rPr>
          <w:color w:val="000000" w:themeColor="text1"/>
          <w14:textFill>
            <w14:solidFill>
              <w14:schemeClr w14:val="tx1"/>
            </w14:solidFill>
          </w14:textFill>
        </w:rPr>
        <w:t>下列叙述正确的有</w:t>
      </w:r>
    </w:p>
    <w:p w14:paraId="0BD6E58A">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drawing>
          <wp:inline distT="0" distB="0" distL="114300" distR="114300">
            <wp:extent cx="4431030" cy="222123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431030" cy="2221230"/>
                    </a:xfrm>
                    <a:prstGeom prst="rect">
                      <a:avLst/>
                    </a:prstGeom>
                  </pic:spPr>
                </pic:pic>
              </a:graphicData>
            </a:graphic>
          </wp:inline>
        </w:drawing>
      </w:r>
    </w:p>
    <w:p w14:paraId="64AB98D6">
      <w:pPr>
        <w:ind w:firstLine="210" w:firstLineChars="100"/>
        <w:rPr>
          <w:color w:val="000000" w:themeColor="text1"/>
          <w14:textFill>
            <w14:solidFill>
              <w14:schemeClr w14:val="tx1"/>
            </w14:solidFill>
          </w14:textFill>
        </w:rPr>
      </w:pPr>
    </w:p>
    <w:p w14:paraId="09F880DF">
      <w:pPr>
        <w:spacing w:line="252" w:lineRule="auto"/>
        <w:ind w:firstLine="420" w:firstLineChars="200"/>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t>A．</w:t>
      </w:r>
      <w:r>
        <w:rPr>
          <w:rFonts w:eastAsiaTheme="minorEastAsia"/>
          <w:color w:val="000000" w:themeColor="text1"/>
          <w14:textFill>
            <w14:solidFill>
              <w14:schemeClr w14:val="tx1"/>
            </w14:solidFill>
          </w14:textFill>
        </w:rPr>
        <w:t>图中H</w:t>
      </w:r>
      <w:r>
        <w:rPr>
          <w:rFonts w:eastAsiaTheme="minorEastAsia"/>
          <w:color w:val="000000" w:themeColor="text1"/>
          <w:vertAlign w:val="superscript"/>
          <w14:textFill>
            <w14:solidFill>
              <w14:schemeClr w14:val="tx1"/>
            </w14:solidFill>
          </w14:textFill>
        </w:rPr>
        <w:t>+</w:t>
      </w:r>
      <w:r>
        <w:rPr>
          <w:rFonts w:eastAsiaTheme="minorEastAsia"/>
          <w:color w:val="000000" w:themeColor="text1"/>
          <w14:textFill>
            <w14:solidFill>
              <w14:schemeClr w14:val="tx1"/>
            </w14:solidFill>
          </w14:textFill>
        </w:rPr>
        <w:t>通过UCPI由区域Ⅰ进入区域Ⅱ的方式是协助扩散</w:t>
      </w:r>
    </w:p>
    <w:p w14:paraId="653B46D0">
      <w:pPr>
        <w:spacing w:line="252" w:lineRule="auto"/>
        <w:ind w:firstLine="420" w:firstLineChars="200"/>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t>B．</w:t>
      </w:r>
      <w:r>
        <w:rPr>
          <w:rFonts w:eastAsiaTheme="minorEastAsia"/>
          <w:color w:val="000000" w:themeColor="text1"/>
          <w14:textFill>
            <w14:solidFill>
              <w14:schemeClr w14:val="tx1"/>
            </w14:solidFill>
          </w14:textFill>
        </w:rPr>
        <w:t>过程②发生于线粒体基质，物质乙是还原型辅酶Ⅱ</w:t>
      </w:r>
    </w:p>
    <w:p w14:paraId="29AE3525">
      <w:pPr>
        <w:spacing w:line="252" w:lineRule="auto"/>
        <w:ind w:firstLine="420" w:firstLineChars="200"/>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t>C．</w:t>
      </w:r>
      <w:r>
        <w:rPr>
          <w:rFonts w:eastAsiaTheme="minorEastAsia"/>
          <w:color w:val="000000" w:themeColor="text1"/>
          <w14:textFill>
            <w14:solidFill>
              <w14:schemeClr w14:val="tx1"/>
            </w14:solidFill>
          </w14:textFill>
        </w:rPr>
        <w:t>相比白色脂肪细胞，棕色脂肪细胞区域Ⅰ与Ⅱ间的H</w:t>
      </w:r>
      <w:r>
        <w:rPr>
          <w:rFonts w:eastAsiaTheme="minorEastAsia"/>
          <w:color w:val="000000" w:themeColor="text1"/>
          <w:vertAlign w:val="superscript"/>
          <w14:textFill>
            <w14:solidFill>
              <w14:schemeClr w14:val="tx1"/>
            </w14:solidFill>
          </w14:textFill>
        </w:rPr>
        <w:t>+</w:t>
      </w:r>
      <w:r>
        <w:rPr>
          <w:rFonts w:eastAsiaTheme="minorEastAsia"/>
          <w:color w:val="000000" w:themeColor="text1"/>
          <w14:textFill>
            <w14:solidFill>
              <w14:schemeClr w14:val="tx1"/>
            </w14:solidFill>
          </w14:textFill>
        </w:rPr>
        <w:t>浓度差降低，产生ATP减少</w:t>
      </w:r>
    </w:p>
    <w:p w14:paraId="3776B380">
      <w:pPr>
        <w:spacing w:line="252" w:lineRule="auto"/>
        <w:ind w:firstLine="420" w:firstLineChars="200"/>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t>D．</w:t>
      </w:r>
      <w:r>
        <w:rPr>
          <w:rFonts w:eastAsiaTheme="minorEastAsia"/>
          <w:color w:val="000000" w:themeColor="text1"/>
          <w14:textFill>
            <w14:solidFill>
              <w14:schemeClr w14:val="tx1"/>
            </w14:solidFill>
          </w14:textFill>
        </w:rPr>
        <w:t>寒冷条件刺激下，有更多的白色脂肪细胞转化成棕色脂肪细胞，产热增加</w:t>
      </w:r>
    </w:p>
    <w:p w14:paraId="221B23A4">
      <w:pPr>
        <w:spacing w:line="252" w:lineRule="auto"/>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17．科研人员</w:t>
      </w:r>
      <w:r>
        <w:rPr>
          <w:rFonts w:hint="eastAsia"/>
          <w:color w:val="000000" w:themeColor="text1"/>
          <w14:textFill>
            <w14:solidFill>
              <w14:schemeClr w14:val="tx1"/>
            </w14:solidFill>
          </w14:textFill>
        </w:rPr>
        <w:t>利用</w:t>
      </w:r>
      <w:r>
        <w:rPr>
          <w:color w:val="000000" w:themeColor="text1"/>
          <w14:textFill>
            <w14:solidFill>
              <w14:schemeClr w14:val="tx1"/>
            </w14:solidFill>
          </w14:textFill>
        </w:rPr>
        <w:t>甲、乙、丙</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种白眼果蝇突变体，与野生型红眼果蝇进行如下杂交实验</w:t>
      </w:r>
      <w:r>
        <w:rPr>
          <w:rFonts w:hint="eastAsia"/>
          <w:color w:val="000000" w:themeColor="text1"/>
          <w14:textFill>
            <w14:solidFill>
              <w14:schemeClr w14:val="tx1"/>
            </w14:solidFill>
          </w14:textFill>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660"/>
        <w:gridCol w:w="870"/>
        <w:gridCol w:w="870"/>
        <w:gridCol w:w="870"/>
        <w:gridCol w:w="755"/>
      </w:tblGrid>
      <w:tr w14:paraId="086C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0907EF">
            <w:pPr>
              <w:jc w:val="center"/>
              <w:rPr>
                <w:color w:val="000000" w:themeColor="text1"/>
                <w14:textFill>
                  <w14:solidFill>
                    <w14:schemeClr w14:val="tx1"/>
                  </w14:solidFill>
                </w14:textFill>
              </w:rPr>
            </w:pPr>
            <w:r>
              <w:rPr>
                <w:color w:val="000000" w:themeColor="text1"/>
                <w14:textFill>
                  <w14:solidFill>
                    <w14:schemeClr w14:val="tx1"/>
                  </w14:solidFill>
                </w14:textFill>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CBBC59">
            <w:pPr>
              <w:jc w:val="center"/>
              <w:rPr>
                <w:color w:val="000000" w:themeColor="text1"/>
                <w14:textFill>
                  <w14:solidFill>
                    <w14:schemeClr w14:val="tx1"/>
                  </w14:solidFill>
                </w14:textFill>
              </w:rPr>
            </w:pPr>
            <w:r>
              <w:rPr>
                <w:color w:val="000000" w:themeColor="text1"/>
                <w14:textFill>
                  <w14:solidFill>
                    <w14:schemeClr w14:val="tx1"/>
                  </w14:solidFill>
                </w14:textFill>
              </w:rPr>
              <w:t>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A15DD9">
            <w:pPr>
              <w:jc w:val="center"/>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BB90DA">
            <w:pPr>
              <w:jc w:val="center"/>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F1186F">
            <w:pPr>
              <w:jc w:val="center"/>
              <w:rPr>
                <w:color w:val="000000" w:themeColor="text1"/>
                <w14:textFill>
                  <w14:solidFill>
                    <w14:schemeClr w14:val="tx1"/>
                  </w14:solidFill>
                </w14:textFill>
              </w:rPr>
            </w:pPr>
            <w:r>
              <w:rPr>
                <w:color w:val="000000" w:themeColor="text1"/>
                <w14:textFill>
                  <w14:solidFill>
                    <w14:schemeClr w14:val="tx1"/>
                  </w14:solidFill>
                </w14:textFill>
              </w:rPr>
              <w:t>Ⅳ</w:t>
            </w:r>
          </w:p>
        </w:tc>
      </w:tr>
      <w:tr w14:paraId="6268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331E40">
            <w:pPr>
              <w:jc w:val="center"/>
              <w:rPr>
                <w:color w:val="000000" w:themeColor="text1"/>
                <w14:textFill>
                  <w14:solidFill>
                    <w14:schemeClr w14:val="tx1"/>
                  </w14:solidFill>
                </w14:textFill>
              </w:rPr>
            </w:pPr>
            <w:r>
              <w:rPr>
                <w:color w:val="000000" w:themeColor="text1"/>
                <w14:textFill>
                  <w14:solidFill>
                    <w14:schemeClr w14:val="tx1"/>
                  </w14:solidFill>
                </w14:textFill>
              </w:rPr>
              <w:t>亲本果蝇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40217C">
            <w:pPr>
              <w:jc w:val="center"/>
              <w:rPr>
                <w:color w:val="000000" w:themeColor="text1"/>
                <w14:textFill>
                  <w14:solidFill>
                    <w14:schemeClr w14:val="tx1"/>
                  </w14:solidFill>
                </w14:textFill>
              </w:rPr>
            </w:pPr>
            <w:r>
              <w:rPr>
                <w:color w:val="000000" w:themeColor="text1"/>
                <w14:textFill>
                  <w14:solidFill>
                    <w14:schemeClr w14:val="tx1"/>
                  </w14:solidFill>
                </w14:textFill>
              </w:rPr>
              <w:t>雌性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974879">
            <w:pPr>
              <w:jc w:val="center"/>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17B556">
            <w:pPr>
              <w:jc w:val="center"/>
              <w:rPr>
                <w:color w:val="000000" w:themeColor="text1"/>
                <w14:textFill>
                  <w14:solidFill>
                    <w14:schemeClr w14:val="tx1"/>
                  </w14:solidFill>
                </w14:textFill>
              </w:rPr>
            </w:pPr>
            <w:r>
              <w:rPr>
                <w:color w:val="000000" w:themeColor="text1"/>
                <w14:textFill>
                  <w14:solidFill>
                    <w14:schemeClr w14:val="tx1"/>
                  </w14:solidFill>
                </w14:textFill>
              </w:rPr>
              <w:t>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0B52B4">
            <w:pPr>
              <w:jc w:val="center"/>
              <w:rPr>
                <w:color w:val="000000" w:themeColor="text1"/>
                <w14:textFill>
                  <w14:solidFill>
                    <w14:schemeClr w14:val="tx1"/>
                  </w14:solidFill>
                </w14:textFill>
              </w:rPr>
            </w:pPr>
            <w:r>
              <w:rPr>
                <w:color w:val="000000" w:themeColor="text1"/>
                <w14:textFill>
                  <w14:solidFill>
                    <w14:schemeClr w14:val="tx1"/>
                  </w14:solidFill>
                </w14:textFill>
              </w:rPr>
              <w:t>丙</w:t>
            </w:r>
          </w:p>
        </w:tc>
        <w:tc>
          <w:tcPr>
            <w:tcW w:w="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F252E1">
            <w:pPr>
              <w:jc w:val="center"/>
              <w:rPr>
                <w:color w:val="000000" w:themeColor="text1"/>
                <w14:textFill>
                  <w14:solidFill>
                    <w14:schemeClr w14:val="tx1"/>
                  </w14:solidFill>
                </w14:textFill>
              </w:rPr>
            </w:pPr>
            <w:r>
              <w:rPr>
                <w:color w:val="000000" w:themeColor="text1"/>
                <w14:textFill>
                  <w14:solidFill>
                    <w14:schemeClr w14:val="tx1"/>
                  </w14:solidFill>
                </w14:textFill>
              </w:rPr>
              <w:t>甲</w:t>
            </w:r>
          </w:p>
        </w:tc>
      </w:tr>
      <w:tr w14:paraId="2173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continue"/>
            <w:tcBorders>
              <w:top w:val="single" w:color="000000" w:sz="6" w:space="0"/>
              <w:left w:val="single" w:color="000000" w:sz="6" w:space="0"/>
              <w:bottom w:val="single" w:color="000000" w:sz="6" w:space="0"/>
              <w:right w:val="single" w:color="000000" w:sz="6" w:space="0"/>
            </w:tcBorders>
          </w:tcPr>
          <w:p w14:paraId="64DCD17E">
            <w:pPr>
              <w:jc w:val="center"/>
              <w:rPr>
                <w:color w:val="000000" w:themeColor="text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74E39E">
            <w:pPr>
              <w:jc w:val="center"/>
              <w:rPr>
                <w:color w:val="000000" w:themeColor="text1"/>
                <w14:textFill>
                  <w14:solidFill>
                    <w14:schemeClr w14:val="tx1"/>
                  </w14:solidFill>
                </w14:textFill>
              </w:rPr>
            </w:pPr>
            <w:r>
              <w:rPr>
                <w:color w:val="000000" w:themeColor="text1"/>
                <w14:textFill>
                  <w14:solidFill>
                    <w14:schemeClr w14:val="tx1"/>
                  </w14:solidFill>
                </w14:textFill>
              </w:rPr>
              <w:t>雄性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6D24AD">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5A6393">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45858A">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A00ADA">
            <w:pPr>
              <w:jc w:val="center"/>
              <w:rPr>
                <w:color w:val="000000" w:themeColor="text1"/>
                <w14:textFill>
                  <w14:solidFill>
                    <w14:schemeClr w14:val="tx1"/>
                  </w14:solidFill>
                </w14:textFill>
              </w:rPr>
            </w:pPr>
            <w:r>
              <w:rPr>
                <w:color w:val="000000" w:themeColor="text1"/>
                <w14:textFill>
                  <w14:solidFill>
                    <w14:schemeClr w14:val="tx1"/>
                  </w14:solidFill>
                </w14:textFill>
              </w:rPr>
              <w:t>乙</w:t>
            </w:r>
          </w:p>
        </w:tc>
      </w:tr>
    </w:tbl>
    <w:p w14:paraId="1362C21C">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以下对实验结果与结论的讨论正确的有</w:t>
      </w:r>
    </w:p>
    <w:p w14:paraId="54490841">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A．若Ⅰ组的F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果蝇均为红眼，说明甲突变基因为隐性基因，并一定位于常染色体上</w:t>
      </w:r>
    </w:p>
    <w:p w14:paraId="7B15328E">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B．若Ⅱ组的F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仅雄果蝇与母体性状一致，说明乙突变基因位于X染色体上</w:t>
      </w:r>
    </w:p>
    <w:p w14:paraId="2203B79E">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C．若Ⅲ组的F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果蝇均为白眼，说明丙突变基因为显性基因，但不能确定基因的位置</w:t>
      </w:r>
    </w:p>
    <w:p w14:paraId="7735FC6B">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D．若Ⅳ组的F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果蝇均表现为红眼，说明甲、乙突变基因一定是位于非同源染色体上</w:t>
      </w:r>
    </w:p>
    <w:p w14:paraId="7B8C7F12">
      <w:pPr>
        <w:spacing w:line="252" w:lineRule="auto"/>
        <w:ind w:firstLine="735" w:firstLineChars="350"/>
        <w:rPr>
          <w:color w:val="000000" w:themeColor="text1"/>
          <w14:textFill>
            <w14:solidFill>
              <w14:schemeClr w14:val="tx1"/>
            </w14:solidFill>
          </w14:textFill>
        </w:rPr>
      </w:pPr>
      <w:r>
        <w:rPr>
          <w:color w:val="000000" w:themeColor="text1"/>
          <w14:textFill>
            <w14:solidFill>
              <w14:schemeClr w14:val="tx1"/>
            </w14:solidFill>
          </w14:textFill>
        </w:rPr>
        <w:t>的非等位基因</w:t>
      </w:r>
    </w:p>
    <w:p w14:paraId="094BAB12">
      <w:pPr>
        <w:spacing w:line="252" w:lineRule="auto"/>
        <w:ind w:left="420" w:hanging="396" w:hangingChars="200"/>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18．单细胞RNA 测序是一种在单细胞水平上利用 RNA 测序对特细胞群体进行基因表达谱定量的高通量实验技术。待测组织经过单细胞分离、裂解、反转录、cDNA扩增、文库构建、测序和计算机分析，便可获得多个细胞的基因表达谱。下列相关叙述正确的有</w:t>
      </w:r>
    </w:p>
    <w:p w14:paraId="11711D96">
      <w:pPr>
        <w:spacing w:line="252"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A．将</w:t>
      </w:r>
      <w:r>
        <w:rPr>
          <w:color w:val="000000" w:themeColor="text1"/>
          <w:szCs w:val="21"/>
          <w14:textFill>
            <w14:solidFill>
              <w14:schemeClr w14:val="tx1"/>
            </w14:solidFill>
          </w14:textFill>
        </w:rPr>
        <w:t>单个细胞从组织中分离出来可以利用有限稀释法或显微操作法</w:t>
      </w:r>
    </w:p>
    <w:p w14:paraId="643DBBD1">
      <w:pPr>
        <w:spacing w:line="252"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B．</w:t>
      </w:r>
      <w:r>
        <w:rPr>
          <w:color w:val="000000" w:themeColor="text1"/>
          <w:szCs w:val="21"/>
          <w14:textFill>
            <w14:solidFill>
              <w14:schemeClr w14:val="tx1"/>
            </w14:solidFill>
          </w14:textFill>
        </w:rPr>
        <w:t>实验室裂解细胞后提取的RNA，需要利用特定的技术富集mRNA</w:t>
      </w:r>
    </w:p>
    <w:p w14:paraId="6FA1BBD3">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pacing w:val="-6"/>
          <w14:textFill>
            <w14:solidFill>
              <w14:schemeClr w14:val="tx1"/>
            </w14:solidFill>
          </w14:textFill>
        </w:rPr>
        <w:t>通过反转录、</w:t>
      </w:r>
      <w:r>
        <w:rPr>
          <w:color w:val="000000" w:themeColor="text1"/>
          <w:spacing w:val="-6"/>
          <w:szCs w:val="21"/>
          <w14:textFill>
            <w14:solidFill>
              <w14:schemeClr w14:val="tx1"/>
            </w14:solidFill>
          </w14:textFill>
        </w:rPr>
        <w:t>cDNA扩增以及构建基因组文库等技术可确定单细胞中基因表达情况</w:t>
      </w:r>
    </w:p>
    <w:p w14:paraId="1C2A3F2C">
      <w:pPr>
        <w:spacing w:line="252" w:lineRule="auto"/>
        <w:ind w:firstLine="396" w:firstLineChars="200"/>
        <w:rPr>
          <w:color w:val="000000" w:themeColor="text1"/>
          <w14:textFill>
            <w14:solidFill>
              <w14:schemeClr w14:val="tx1"/>
            </w14:solidFill>
          </w14:textFill>
        </w:rPr>
      </w:pPr>
      <w:r>
        <w:rPr>
          <w:color w:val="000000" w:themeColor="text1"/>
          <w:spacing w:val="-6"/>
          <w14:textFill>
            <w14:solidFill>
              <w14:schemeClr w14:val="tx1"/>
            </w14:solidFill>
          </w14:textFill>
        </w:rPr>
        <w:t>D．</w:t>
      </w:r>
      <w:r>
        <w:rPr>
          <w:color w:val="000000" w:themeColor="text1"/>
          <w14:textFill>
            <w14:solidFill>
              <w14:schemeClr w14:val="tx1"/>
            </w14:solidFill>
          </w14:textFill>
        </w:rPr>
        <w:t>相比于多细胞混合测序，该技术可以揭示罕见的细胞类型</w:t>
      </w:r>
    </w:p>
    <w:p w14:paraId="5D470CD7">
      <w:pPr>
        <w:spacing w:line="252" w:lineRule="auto"/>
        <w:ind w:left="420" w:hanging="420" w:hangingChars="200"/>
        <w:jc w:val="both"/>
        <w:rPr>
          <w:color w:val="000000" w:themeColor="text1"/>
          <w14:textFill>
            <w14:solidFill>
              <w14:schemeClr w14:val="tx1"/>
            </w14:solidFill>
          </w14:textFill>
        </w:rPr>
      </w:pPr>
      <w:r>
        <w:rPr>
          <w:color w:val="000000" w:themeColor="text1"/>
          <w14:textFill>
            <w14:solidFill>
              <w14:schemeClr w14:val="tx1"/>
            </w14:solidFill>
          </w14:textFill>
        </w:rPr>
        <w:t>19．近年来亚洲黑熊数量锐减，科学家欲通过现代生物技术促进亚洲黑熊数量增加，其过程如图所示，图中字母代表不同个体，数字代表不同过程。下列相关叙述错误的有</w:t>
      </w:r>
    </w:p>
    <w:p w14:paraId="0A4C96A4">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980055" cy="1381760"/>
            <wp:effectExtent l="0" t="0" r="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980055" cy="1381760"/>
                    </a:xfrm>
                    <a:prstGeom prst="rect">
                      <a:avLst/>
                    </a:prstGeom>
                    <a:noFill/>
                    <a:ln>
                      <a:noFill/>
                    </a:ln>
                  </pic:spPr>
                </pic:pic>
              </a:graphicData>
            </a:graphic>
          </wp:inline>
        </w:drawing>
      </w:r>
    </w:p>
    <w:p w14:paraId="55E88BD0">
      <w:pPr>
        <w:spacing w:line="252"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A．获得E后代和F后代都需要黑熊A服用相关激素促进超数排卵</w:t>
      </w:r>
    </w:p>
    <w:p w14:paraId="11C05B80">
      <w:pPr>
        <w:spacing w:line="252"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B．产生F后代和胚胎分割繁殖后代的生殖方式不同</w:t>
      </w:r>
    </w:p>
    <w:p w14:paraId="50758713">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w:t>
      </w:r>
      <w:r>
        <w:rPr>
          <w:rFonts w:eastAsiaTheme="minorEastAsia"/>
          <w:color w:val="000000" w:themeColor="text1"/>
          <w:szCs w:val="21"/>
          <w:shd w:val="clear" w:color="auto" w:fill="FFFFFF"/>
          <w14:textFill>
            <w14:solidFill>
              <w14:schemeClr w14:val="tx1"/>
            </w14:solidFill>
          </w14:textFill>
        </w:rPr>
        <w:t>可以使用蛋白酶合成抑制剂法激活重构胚，使重构胚完成细胞分裂和发育</w:t>
      </w:r>
    </w:p>
    <w:p w14:paraId="6A40AE1A">
      <w:pPr>
        <w:spacing w:line="252"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szCs w:val="21"/>
          <w14:textFill>
            <w14:solidFill>
              <w14:schemeClr w14:val="tx1"/>
            </w14:solidFill>
          </w14:textFill>
        </w:rPr>
        <w:t>D受体需选择健康、有正常的繁殖能力的同种生物个体</w:t>
      </w:r>
    </w:p>
    <w:p w14:paraId="330B76B1">
      <w:pPr>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br w:type="page"/>
      </w:r>
    </w:p>
    <w:p w14:paraId="03F09589">
      <w:pPr>
        <w:adjustRightInd w:val="0"/>
        <w:snapToGrid w:val="0"/>
        <w:spacing w:line="360" w:lineRule="auto"/>
        <w:ind w:firstLine="238"/>
        <w:jc w:val="center"/>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第 Ⅱ 卷</w:t>
      </w:r>
      <w:r>
        <w:rPr>
          <w:rFonts w:hint="eastAsia" w:eastAsia="黑体"/>
          <w:color w:val="000000" w:themeColor="text1"/>
          <w:sz w:val="28"/>
          <w:szCs w:val="28"/>
          <w14:textFill>
            <w14:solidFill>
              <w14:schemeClr w14:val="tx1"/>
            </w14:solidFill>
          </w14:textFill>
        </w:rPr>
        <w:t>(</w:t>
      </w:r>
      <w:r>
        <w:rPr>
          <w:rFonts w:eastAsia="黑体"/>
          <w:color w:val="000000" w:themeColor="text1"/>
          <w:sz w:val="28"/>
          <w:szCs w:val="28"/>
          <w14:textFill>
            <w14:solidFill>
              <w14:schemeClr w14:val="tx1"/>
            </w14:solidFill>
          </w14:textFill>
        </w:rPr>
        <w:t>非选择题  共58分</w:t>
      </w:r>
      <w:r>
        <w:rPr>
          <w:rFonts w:hint="eastAsia" w:eastAsia="黑体"/>
          <w:color w:val="000000" w:themeColor="text1"/>
          <w:sz w:val="28"/>
          <w:szCs w:val="28"/>
          <w14:textFill>
            <w14:solidFill>
              <w14:schemeClr w14:val="tx1"/>
            </w14:solidFill>
          </w14:textFill>
        </w:rPr>
        <w:t>)</w:t>
      </w:r>
    </w:p>
    <w:p w14:paraId="68A53914">
      <w:pPr>
        <w:adjustRightInd w:val="0"/>
        <w:snapToGrid w:val="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三、非选择题：共5题，共58分。除特别说明外，每空1分。</w:t>
      </w:r>
    </w:p>
    <w:p w14:paraId="2511E753">
      <w:pPr>
        <w:ind w:left="420" w:hanging="420" w:hanging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r>
        <w:rPr>
          <w:color w:val="000000" w:themeColor="text1"/>
          <w14:textFill>
            <w14:solidFill>
              <w14:schemeClr w14:val="tx1"/>
            </w14:solidFill>
          </w14:textFill>
        </w:rPr>
        <w:t>．</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12分</w:t>
      </w:r>
      <w:r>
        <w:rPr>
          <w:rFonts w:hint="eastAsia"/>
          <w:color w:val="000000" w:themeColor="text1"/>
          <w:szCs w:val="22"/>
          <w14:textFill>
            <w14:solidFill>
              <w14:schemeClr w14:val="tx1"/>
            </w14:solidFill>
          </w14:textFill>
        </w:rPr>
        <w:t>)</w:t>
      </w:r>
      <w:r>
        <w:rPr>
          <w:color w:val="000000" w:themeColor="text1"/>
          <w:szCs w:val="21"/>
          <w14:textFill>
            <w14:solidFill>
              <w14:schemeClr w14:val="tx1"/>
            </w14:solidFill>
          </w14:textFill>
        </w:rPr>
        <w:t>水稻籽粒中的</w:t>
      </w:r>
      <w:r>
        <w:rPr>
          <w:rFonts w:hint="eastAsia"/>
          <w:color w:val="000000" w:themeColor="text1"/>
          <w:szCs w:val="21"/>
          <w14:textFill>
            <w14:solidFill>
              <w14:schemeClr w14:val="tx1"/>
            </w14:solidFill>
          </w14:textFill>
        </w:rPr>
        <w:t>有机物</w:t>
      </w:r>
      <w:r>
        <w:rPr>
          <w:color w:val="000000" w:themeColor="text1"/>
          <w:szCs w:val="21"/>
          <w14:textFill>
            <w14:solidFill>
              <w14:schemeClr w14:val="tx1"/>
            </w14:solidFill>
          </w14:textFill>
        </w:rPr>
        <w:t>主要来源于叶片的光合作用。水稻叶片的光合能力主要取决于光能捕获能力和光能转化效率。现有一种浅绿色水稻突变体品系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pgl</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，与野生型水稻相比，其株高、单株产量等明显降低。科研人员对其光合色素的含量进行检测，结果见表1。</w:t>
      </w:r>
    </w:p>
    <w:p w14:paraId="12C6D71B">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表1  光合色素含量</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mg/g</w:t>
      </w:r>
      <w:r>
        <w:rPr>
          <w:rFonts w:hint="eastAsia"/>
          <w:color w:val="000000" w:themeColor="text1"/>
          <w:szCs w:val="21"/>
          <w14:textFill>
            <w14:solidFill>
              <w14:schemeClr w14:val="tx1"/>
            </w14:solidFill>
          </w14:textFill>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1016"/>
        <w:gridCol w:w="1028"/>
        <w:gridCol w:w="1080"/>
        <w:gridCol w:w="1244"/>
      </w:tblGrid>
      <w:tr w14:paraId="581D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5D2416F0">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材料</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258CABAA">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叶绿素a</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53EF5C0">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叶绿素b</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082B46BF">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胡萝卜素</w:t>
            </w:r>
          </w:p>
        </w:tc>
        <w:tc>
          <w:tcPr>
            <w:tcW w:w="1244" w:type="dxa"/>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E7E9B93">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叶黄素</w:t>
            </w:r>
          </w:p>
        </w:tc>
      </w:tr>
      <w:tr w14:paraId="74D6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260948C8">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野生型</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1A4AC1F1">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2.149</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764A4AE">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1.354</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2E5CE4CC">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0.765</w:t>
            </w:r>
          </w:p>
        </w:tc>
        <w:tc>
          <w:tcPr>
            <w:tcW w:w="1244" w:type="dxa"/>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12ECA666">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0.453</w:t>
            </w:r>
          </w:p>
        </w:tc>
      </w:tr>
      <w:tr w14:paraId="3CE0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482880A6">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pgl</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E23F7BA">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1.522</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1941B640">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0.003</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3523FEBB">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0.551</w:t>
            </w:r>
          </w:p>
        </w:tc>
        <w:tc>
          <w:tcPr>
            <w:tcW w:w="1244" w:type="dxa"/>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1846012">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0.417</w:t>
            </w:r>
          </w:p>
        </w:tc>
      </w:tr>
    </w:tbl>
    <w:p w14:paraId="2464EBD6">
      <w:pPr>
        <w:ind w:left="882" w:leftChars="3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color w:val="000000" w:themeColor="text1"/>
          <w:spacing w:val="-6"/>
          <w:szCs w:val="21"/>
          <w14:textFill>
            <w14:solidFill>
              <w14:schemeClr w14:val="tx1"/>
            </w14:solidFill>
          </w14:textFill>
        </w:rPr>
        <w:t>表1中色素分布于</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1"/>
          <w14:textFill>
            <w14:solidFill>
              <w14:schemeClr w14:val="tx1"/>
            </w14:solidFill>
          </w14:textFill>
        </w:rPr>
        <w:t>(</w:t>
      </w:r>
      <w:r>
        <w:rPr>
          <w:color w:val="000000" w:themeColor="text1"/>
          <w:spacing w:val="-6"/>
          <w:szCs w:val="21"/>
          <w14:textFill>
            <w14:solidFill>
              <w14:schemeClr w14:val="tx1"/>
            </w14:solidFill>
          </w14:textFill>
        </w:rPr>
        <w:t>填部位</w:t>
      </w:r>
      <w:r>
        <w:rPr>
          <w:rFonts w:hint="eastAsia"/>
          <w:color w:val="000000" w:themeColor="text1"/>
          <w:spacing w:val="-6"/>
          <w:szCs w:val="21"/>
          <w14:textFill>
            <w14:solidFill>
              <w14:schemeClr w14:val="tx1"/>
            </w14:solidFill>
          </w14:textFill>
        </w:rPr>
        <w:t>)</w:t>
      </w:r>
      <w:r>
        <w:rPr>
          <w:color w:val="000000" w:themeColor="text1"/>
          <w:spacing w:val="-6"/>
          <w:szCs w:val="21"/>
          <w14:textFill>
            <w14:solidFill>
              <w14:schemeClr w14:val="tx1"/>
            </w14:solidFill>
          </w14:textFill>
        </w:rPr>
        <w:t>，其中含Mg元素的光合色素主要吸</w:t>
      </w:r>
      <w:r>
        <w:rPr>
          <w:color w:val="000000" w:themeColor="text1"/>
          <w:szCs w:val="21"/>
          <w14:textFill>
            <w14:solidFill>
              <w14:schemeClr w14:val="tx1"/>
            </w14:solidFill>
          </w14:textFill>
        </w:rPr>
        <w:t>收</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color w:val="000000" w:themeColor="text1"/>
          <w:szCs w:val="22"/>
          <w:u w:val="single"/>
          <w14:textFill>
            <w14:solidFill>
              <w14:schemeClr w14:val="tx1"/>
            </w14:solidFill>
          </w14:textFill>
        </w:rPr>
        <w:t xml:space="preserve">  </w:t>
      </w:r>
      <w:r>
        <w:rPr>
          <w:color w:val="000000" w:themeColor="text1"/>
          <w:szCs w:val="21"/>
          <w14:textFill>
            <w14:solidFill>
              <w14:schemeClr w14:val="tx1"/>
            </w14:solidFill>
          </w14:textFill>
        </w:rPr>
        <w:t>光。据表1分析，与野生型相比，pgl植株光反应为暗反应提供的</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较少。</w:t>
      </w:r>
    </w:p>
    <w:p w14:paraId="2320D3E1">
      <w:pPr>
        <w:ind w:left="630" w:leftChars="3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(2)对野生型和突变体在分蘖期和灌浆期的部分光合生理特性的测量结果如表2。</w:t>
      </w:r>
    </w:p>
    <w:p w14:paraId="542AE09D">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表2  光合生理特性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870"/>
        <w:gridCol w:w="1290"/>
        <w:gridCol w:w="1312"/>
        <w:gridCol w:w="1527"/>
      </w:tblGrid>
      <w:tr w14:paraId="56A0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51CEC8C">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时期</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67EDCF5">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材料</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38707913">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净光合速率</w:t>
            </w:r>
          </w:p>
          <w:p w14:paraId="3CCCDE39">
            <w:pPr>
              <w:ind w:left="420" w:hanging="420" w:hangingChars="20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μmol/m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0CC68798">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气孔导度</w:t>
            </w:r>
          </w:p>
          <w:p w14:paraId="785F663E">
            <w:pPr>
              <w:ind w:left="420" w:hanging="420" w:hangingChars="20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mmol/m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87794DD">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胞间CO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浓度</w:t>
            </w:r>
          </w:p>
          <w:p w14:paraId="792BD5F6">
            <w:pPr>
              <w:ind w:left="420" w:hanging="420" w:hangingChars="200"/>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μmol/ mol</w:t>
            </w:r>
            <w:r>
              <w:rPr>
                <w:rFonts w:hint="eastAsia"/>
                <w:color w:val="000000" w:themeColor="text1"/>
                <w:szCs w:val="21"/>
                <w14:textFill>
                  <w14:solidFill>
                    <w14:schemeClr w14:val="tx1"/>
                  </w14:solidFill>
                </w14:textFill>
              </w:rPr>
              <w:t>)</w:t>
            </w:r>
          </w:p>
        </w:tc>
      </w:tr>
      <w:tr w14:paraId="6A1D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restart"/>
            <w:tcBorders>
              <w:top w:val="nil"/>
              <w:left w:val="single" w:color="000000" w:sz="6" w:space="0"/>
              <w:bottom w:val="single" w:color="000000" w:sz="6" w:space="0"/>
              <w:right w:val="single" w:color="000000" w:sz="6" w:space="0"/>
            </w:tcBorders>
            <w:tcMar>
              <w:top w:w="75" w:type="dxa"/>
              <w:left w:w="120" w:type="dxa"/>
              <w:bottom w:w="75" w:type="dxa"/>
              <w:right w:w="120" w:type="dxa"/>
            </w:tcMar>
            <w:vAlign w:val="center"/>
          </w:tcPr>
          <w:p w14:paraId="7EB262EB">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分蘖期</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6EFE3EF">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突变体</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54793168">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8.46</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45CA42C">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546C20C">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331.39</w:t>
            </w:r>
          </w:p>
        </w:tc>
      </w:tr>
      <w:tr w14:paraId="04EE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continue"/>
            <w:tcBorders>
              <w:top w:val="nil"/>
              <w:left w:val="single" w:color="000000" w:sz="6" w:space="0"/>
              <w:bottom w:val="single" w:color="000000" w:sz="6" w:space="0"/>
              <w:right w:val="single" w:color="000000" w:sz="6" w:space="0"/>
            </w:tcBorders>
            <w:vAlign w:val="center"/>
          </w:tcPr>
          <w:p w14:paraId="4A823E76">
            <w:pPr>
              <w:ind w:left="420" w:hanging="420" w:hangingChars="200"/>
              <w:jc w:val="center"/>
              <w:textAlignment w:val="auto"/>
              <w:rPr>
                <w:color w:val="000000" w:themeColor="text1"/>
                <w:szCs w:val="21"/>
                <w14:textFill>
                  <w14:solidFill>
                    <w14:schemeClr w14:val="tx1"/>
                  </w14:solidFill>
                </w14:textFill>
              </w:rPr>
            </w:pP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2170E33E">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野生型</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A4AB92A">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12.46</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5B5F8829">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0.55</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3C4A71A2">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328.50</w:t>
            </w:r>
          </w:p>
        </w:tc>
      </w:tr>
      <w:tr w14:paraId="5275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restart"/>
            <w:tcBorders>
              <w:top w:val="nil"/>
              <w:left w:val="single" w:color="000000" w:sz="6" w:space="0"/>
              <w:bottom w:val="single" w:color="000000" w:sz="6" w:space="0"/>
              <w:right w:val="single" w:color="000000" w:sz="6" w:space="0"/>
            </w:tcBorders>
            <w:tcMar>
              <w:top w:w="75" w:type="dxa"/>
              <w:left w:w="120" w:type="dxa"/>
              <w:bottom w:w="75" w:type="dxa"/>
              <w:right w:w="120" w:type="dxa"/>
            </w:tcMar>
            <w:vAlign w:val="center"/>
          </w:tcPr>
          <w:p w14:paraId="25EACAC7">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灌浆期</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75F7DE8B">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突变体</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4A73F2A7">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12.97</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79B1D3DD">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0.60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55FFFB45">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327.44</w:t>
            </w:r>
          </w:p>
        </w:tc>
      </w:tr>
      <w:tr w14:paraId="5230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vMerge w:val="continue"/>
            <w:tcBorders>
              <w:top w:val="nil"/>
              <w:left w:val="single" w:color="000000" w:sz="6" w:space="0"/>
              <w:bottom w:val="single" w:color="000000" w:sz="6" w:space="0"/>
              <w:right w:val="single" w:color="000000" w:sz="6" w:space="0"/>
            </w:tcBorders>
            <w:vAlign w:val="center"/>
          </w:tcPr>
          <w:p w14:paraId="5B0B87F1">
            <w:pPr>
              <w:ind w:left="420" w:hanging="420" w:hangingChars="200"/>
              <w:jc w:val="center"/>
              <w:textAlignment w:val="auto"/>
              <w:rPr>
                <w:color w:val="000000" w:themeColor="text1"/>
                <w:szCs w:val="21"/>
                <w14:textFill>
                  <w14:solidFill>
                    <w14:schemeClr w14:val="tx1"/>
                  </w14:solidFill>
                </w14:textFill>
              </w:rPr>
            </w:pP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1CC0D882">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野生型</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6A6D8B54">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12.29</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5AB0982F">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0.41</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14:paraId="08A77964">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308.80</w:t>
            </w:r>
          </w:p>
        </w:tc>
      </w:tr>
    </w:tbl>
    <w:p w14:paraId="716B7F55">
      <w:pPr>
        <w:ind w:left="882" w:leftChars="3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①分蘖期，pgl的净光合速率明显低于野生型，有人认为气孔导度不是其限制因素，你是否同意，并说明理由</w:t>
      </w:r>
      <w:r>
        <w:rPr>
          <w:rFonts w:hint="eastAsia"/>
          <w:color w:val="000000" w:themeColor="text1"/>
          <w:szCs w:val="21"/>
          <w14:textFill>
            <w14:solidFill>
              <w14:schemeClr w14:val="tx1"/>
            </w14:solidFill>
          </w14:textFill>
        </w:rPr>
        <w:t>。</w:t>
      </w:r>
      <w:r>
        <w:rPr>
          <w:color w:val="000000" w:themeColor="text1"/>
          <w:szCs w:val="22"/>
          <w:u w:val="single"/>
          <w14:textFill>
            <w14:solidFill>
              <w14:schemeClr w14:val="tx1"/>
            </w14:solidFill>
          </w14:textFill>
        </w:rPr>
        <w:t xml:space="preserve">   ▲   </w:t>
      </w:r>
      <w:r>
        <w:rPr>
          <w:rFonts w:hint="eastAsia"/>
          <w:color w:val="000000" w:themeColor="text1"/>
          <w:szCs w:val="22"/>
          <w14:textFill>
            <w14:solidFill>
              <w14:schemeClr w14:val="tx1"/>
            </w14:solidFill>
          </w14:textFill>
        </w:rPr>
        <w:t>、</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w:t>
      </w:r>
    </w:p>
    <w:p w14:paraId="465C988E">
      <w:pPr>
        <w:ind w:left="882" w:leftChars="3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②CO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进入叶绿体被固定的最初产物为</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，经转换生成磷酸丙糖后进入细胞质基质，进一步转换为</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，通过筛管向种子运输。灌浆期，pgl的净光合速率与野生型无显著差异，但最终产量仍然较低，原因可能是</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w:t>
      </w:r>
    </w:p>
    <w:tbl>
      <w:tblPr>
        <w:tblStyle w:val="6"/>
        <w:tblpPr w:leftFromText="180" w:rightFromText="180" w:vertAnchor="text" w:horzAnchor="page" w:tblpX="2482" w:tblpY="15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54"/>
        <w:gridCol w:w="1269"/>
        <w:gridCol w:w="1356"/>
        <w:gridCol w:w="1731"/>
      </w:tblGrid>
      <w:tr w14:paraId="0295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l2br w:val="single" w:color="auto" w:sz="4" w:space="0"/>
            </w:tcBorders>
          </w:tcPr>
          <w:p w14:paraId="249167B9">
            <w:pPr>
              <w:widowControl/>
              <w:jc w:val="both"/>
              <w:rPr>
                <w:color w:val="000000" w:themeColor="text1"/>
                <w:kern w:val="0"/>
                <w:szCs w:val="21"/>
                <w:lang w:bidi="ar"/>
                <w14:textFill>
                  <w14:solidFill>
                    <w14:schemeClr w14:val="tx1"/>
                  </w14:solidFill>
                </w14:textFill>
              </w:rPr>
            </w:pPr>
          </w:p>
        </w:tc>
        <w:tc>
          <w:tcPr>
            <w:tcW w:w="2423" w:type="dxa"/>
            <w:gridSpan w:val="2"/>
            <w:tcBorders>
              <w:tl2br w:val="nil"/>
              <w:tr2bl w:val="nil"/>
            </w:tcBorders>
          </w:tcPr>
          <w:p w14:paraId="2A0AA96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W1</w:t>
            </w:r>
          </w:p>
        </w:tc>
        <w:tc>
          <w:tcPr>
            <w:tcW w:w="3087" w:type="dxa"/>
            <w:gridSpan w:val="2"/>
            <w:tcBorders>
              <w:tl2br w:val="nil"/>
              <w:tr2bl w:val="nil"/>
            </w:tcBorders>
          </w:tcPr>
          <w:p w14:paraId="76F46A4C">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pgl</w:t>
            </w:r>
          </w:p>
        </w:tc>
      </w:tr>
      <w:tr w14:paraId="1328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l2br w:val="nil"/>
              <w:tr2bl w:val="nil"/>
            </w:tcBorders>
          </w:tcPr>
          <w:p w14:paraId="504E899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突变位点</w:t>
            </w:r>
          </w:p>
        </w:tc>
        <w:tc>
          <w:tcPr>
            <w:tcW w:w="1154" w:type="dxa"/>
            <w:tcBorders>
              <w:tl2br w:val="nil"/>
              <w:tr2bl w:val="nil"/>
            </w:tcBorders>
            <w:shd w:val="clear" w:color="auto" w:fill="auto"/>
          </w:tcPr>
          <w:p w14:paraId="7CCBC4F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779</w:t>
            </w:r>
          </w:p>
        </w:tc>
        <w:tc>
          <w:tcPr>
            <w:tcW w:w="1269" w:type="dxa"/>
            <w:tcBorders>
              <w:tl2br w:val="nil"/>
              <w:tr2bl w:val="nil"/>
            </w:tcBorders>
            <w:shd w:val="clear" w:color="auto" w:fill="auto"/>
          </w:tcPr>
          <w:p w14:paraId="6D7F33D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2508</w:t>
            </w:r>
          </w:p>
        </w:tc>
        <w:tc>
          <w:tcPr>
            <w:tcW w:w="1356" w:type="dxa"/>
            <w:tcBorders>
              <w:tl2br w:val="nil"/>
              <w:tr2bl w:val="nil"/>
            </w:tcBorders>
            <w:shd w:val="clear" w:color="auto" w:fill="auto"/>
          </w:tcPr>
          <w:p w14:paraId="58480087">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2507</w:t>
            </w:r>
          </w:p>
        </w:tc>
        <w:tc>
          <w:tcPr>
            <w:tcW w:w="1731" w:type="dxa"/>
            <w:tcBorders>
              <w:tl2br w:val="nil"/>
              <w:tr2bl w:val="nil"/>
            </w:tcBorders>
            <w:shd w:val="clear" w:color="auto" w:fill="auto"/>
          </w:tcPr>
          <w:p w14:paraId="043EF881">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3136</w:t>
            </w:r>
          </w:p>
        </w:tc>
      </w:tr>
      <w:tr w14:paraId="5FFE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l2br w:val="nil"/>
              <w:tr2bl w:val="nil"/>
            </w:tcBorders>
          </w:tcPr>
          <w:p w14:paraId="446F20F1">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突变方式</w:t>
            </w:r>
          </w:p>
        </w:tc>
        <w:tc>
          <w:tcPr>
            <w:tcW w:w="1154" w:type="dxa"/>
            <w:tcBorders>
              <w:tl2br w:val="nil"/>
              <w:tr2bl w:val="nil"/>
            </w:tcBorders>
          </w:tcPr>
          <w:p w14:paraId="066DC35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G→A</w:t>
            </w:r>
          </w:p>
        </w:tc>
        <w:tc>
          <w:tcPr>
            <w:tcW w:w="1269" w:type="dxa"/>
            <w:tcBorders>
              <w:tl2br w:val="nil"/>
              <w:tr2bl w:val="nil"/>
            </w:tcBorders>
          </w:tcPr>
          <w:p w14:paraId="26E7E827">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插入4个T</w:t>
            </w:r>
          </w:p>
        </w:tc>
        <w:tc>
          <w:tcPr>
            <w:tcW w:w="1356" w:type="dxa"/>
            <w:tcBorders>
              <w:tl2br w:val="nil"/>
              <w:tr2bl w:val="nil"/>
            </w:tcBorders>
          </w:tcPr>
          <w:p w14:paraId="7AD12C8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缺失T</w:t>
            </w:r>
          </w:p>
        </w:tc>
        <w:tc>
          <w:tcPr>
            <w:tcW w:w="1731" w:type="dxa"/>
            <w:tcBorders>
              <w:tl2br w:val="nil"/>
              <w:tr2bl w:val="nil"/>
            </w:tcBorders>
          </w:tcPr>
          <w:p w14:paraId="0786057C">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T→C</w:t>
            </w:r>
          </w:p>
        </w:tc>
      </w:tr>
      <w:tr w14:paraId="7979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l2br w:val="nil"/>
              <w:tr2bl w:val="nil"/>
            </w:tcBorders>
          </w:tcPr>
          <w:p w14:paraId="0661EC06">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氨基酸序列</w:t>
            </w:r>
          </w:p>
        </w:tc>
        <w:tc>
          <w:tcPr>
            <w:tcW w:w="1154" w:type="dxa"/>
            <w:tcBorders>
              <w:tl2br w:val="nil"/>
              <w:tr2bl w:val="nil"/>
            </w:tcBorders>
          </w:tcPr>
          <w:p w14:paraId="328F0E4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不变</w:t>
            </w:r>
          </w:p>
        </w:tc>
        <w:tc>
          <w:tcPr>
            <w:tcW w:w="1269" w:type="dxa"/>
            <w:tcBorders>
              <w:tl2br w:val="nil"/>
              <w:tr2bl w:val="nil"/>
            </w:tcBorders>
          </w:tcPr>
          <w:p w14:paraId="6167EB7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不变</w:t>
            </w:r>
          </w:p>
        </w:tc>
        <w:tc>
          <w:tcPr>
            <w:tcW w:w="1356" w:type="dxa"/>
            <w:tcBorders>
              <w:tl2br w:val="nil"/>
              <w:tr2bl w:val="nil"/>
            </w:tcBorders>
          </w:tcPr>
          <w:p w14:paraId="4756179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不变</w:t>
            </w:r>
          </w:p>
        </w:tc>
        <w:tc>
          <w:tcPr>
            <w:tcW w:w="1731" w:type="dxa"/>
            <w:tcBorders>
              <w:tl2br w:val="nil"/>
              <w:tr2bl w:val="nil"/>
            </w:tcBorders>
          </w:tcPr>
          <w:p w14:paraId="2D56813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精氨酸→色氨酸</w:t>
            </w:r>
          </w:p>
        </w:tc>
      </w:tr>
    </w:tbl>
    <w:p w14:paraId="1379293E">
      <w:pPr>
        <w:widowControl/>
        <w:numPr>
          <w:ilvl w:val="0"/>
          <w:numId w:val="1"/>
        </w:numPr>
        <w:ind w:left="882" w:leftChars="3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叶绿素加氧酶基因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OSCAO1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主要功能是催化叶绿素a合成叶绿素b</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科研工作者扩增了野生型、pgl品系和另一浅绿色突变品系W1的OSCAO1基因编码区序列，并分析了叶绿素加氧酶的氨基酸序列变化</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如表3所示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表中数字代表</w:t>
      </w:r>
      <w:r>
        <w:rPr>
          <w:rFonts w:hint="eastAsia"/>
          <w:color w:val="000000" w:themeColor="text1"/>
          <w:szCs w:val="21"/>
          <w14:textFill>
            <w14:solidFill>
              <w14:schemeClr w14:val="tx1"/>
            </w14:solidFill>
          </w14:textFill>
        </w:rPr>
        <w:t>编码区</w:t>
      </w:r>
      <w:r>
        <w:rPr>
          <w:color w:val="000000" w:themeColor="text1"/>
          <w:szCs w:val="21"/>
          <w14:textFill>
            <w14:solidFill>
              <w14:schemeClr w14:val="tx1"/>
            </w14:solidFill>
          </w14:textFill>
        </w:rPr>
        <w:t>碱基序号</w:t>
      </w:r>
      <w:r>
        <w:rPr>
          <w:rFonts w:hint="eastAsia"/>
          <w:color w:val="000000" w:themeColor="text1"/>
          <w:szCs w:val="21"/>
          <w14:textFill>
            <w14:solidFill>
              <w14:schemeClr w14:val="tx1"/>
            </w14:solidFill>
          </w14:textFill>
        </w:rPr>
        <w:t>)。</w:t>
      </w:r>
    </w:p>
    <w:p w14:paraId="2C005567">
      <w:pPr>
        <w:ind w:left="420" w:hanging="420" w:hangingChars="20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表3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OSCAO1基因的突变情况</w:t>
      </w:r>
    </w:p>
    <w:p w14:paraId="698B3035">
      <w:pPr>
        <w:rPr>
          <w:color w:val="000000" w:themeColor="text1"/>
          <w:szCs w:val="21"/>
          <w14:textFill>
            <w14:solidFill>
              <w14:schemeClr w14:val="tx1"/>
            </w14:solidFill>
          </w14:textFill>
        </w:rPr>
      </w:pPr>
      <w:r>
        <w:rPr>
          <w:color w:val="000000" w:themeColor="text1"/>
          <w:szCs w:val="21"/>
          <w14:textFill>
            <w14:solidFill>
              <w14:schemeClr w14:val="tx1"/>
            </w14:solidFill>
          </w14:textFill>
        </w:rPr>
        <w:br w:type="page"/>
      </w:r>
    </w:p>
    <w:p w14:paraId="35752516">
      <w:pPr>
        <w:spacing w:line="288" w:lineRule="auto"/>
        <w:ind w:left="672" w:leftChars="2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①浅绿色突变品系pgl与W1的OSCAO1基因是野生型叶色基因的</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，这说明基因突变具有</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性。</w:t>
      </w:r>
    </w:p>
    <w:p w14:paraId="5EA63CC3">
      <w:pPr>
        <w:spacing w:line="288" w:lineRule="auto"/>
        <w:ind w:left="672" w:leftChars="200" w:hanging="252" w:hangingChars="12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②突变品系W1</w:t>
      </w:r>
      <w:r>
        <w:rPr>
          <w:rFonts w:hint="eastAsia"/>
          <w:color w:val="000000" w:themeColor="text1"/>
          <w:szCs w:val="21"/>
          <w14:textFill>
            <w14:solidFill>
              <w14:schemeClr w14:val="tx1"/>
            </w14:solidFill>
          </w14:textFill>
        </w:rPr>
        <w:t>两个突变位点</w:t>
      </w:r>
      <w:r>
        <w:rPr>
          <w:color w:val="000000" w:themeColor="text1"/>
          <w:szCs w:val="21"/>
          <w14:textFill>
            <w14:solidFill>
              <w14:schemeClr w14:val="tx1"/>
            </w14:solidFill>
          </w14:textFill>
        </w:rPr>
        <w:t>氨基酸序列不变的原因</w:t>
      </w:r>
      <w:r>
        <w:rPr>
          <w:rFonts w:hint="eastAsia"/>
          <w:color w:val="000000" w:themeColor="text1"/>
          <w:szCs w:val="21"/>
          <w14:textFill>
            <w14:solidFill>
              <w14:schemeClr w14:val="tx1"/>
            </w14:solidFill>
          </w14:textFill>
        </w:rPr>
        <w:t>依次是</w:t>
      </w:r>
      <w:r>
        <w:rPr>
          <w:color w:val="000000" w:themeColor="text1"/>
          <w:szCs w:val="22"/>
          <w:u w:val="single"/>
          <w14:textFill>
            <w14:solidFill>
              <w14:schemeClr w14:val="tx1"/>
            </w14:solidFill>
          </w14:textFill>
        </w:rPr>
        <w:t xml:space="preserve">   ▲   </w:t>
      </w:r>
      <w:r>
        <w:rPr>
          <w:rFonts w:hint="eastAsia"/>
          <w:color w:val="000000" w:themeColor="text1"/>
          <w:szCs w:val="22"/>
          <w14:textFill>
            <w14:solidFill>
              <w14:schemeClr w14:val="tx1"/>
            </w14:solidFill>
          </w14:textFill>
        </w:rPr>
        <w:t>、</w:t>
      </w:r>
      <w:r>
        <w:rPr>
          <w:color w:val="000000" w:themeColor="text1"/>
          <w:szCs w:val="22"/>
          <w:u w:val="single"/>
          <w14:textFill>
            <w14:solidFill>
              <w14:schemeClr w14:val="tx1"/>
            </w14:solidFill>
          </w14:textFill>
        </w:rPr>
        <w:t xml:space="preserve">   ▲   </w:t>
      </w:r>
      <w:r>
        <w:rPr>
          <w:color w:val="000000" w:themeColor="text1"/>
          <w:szCs w:val="21"/>
          <w14:textFill>
            <w14:solidFill>
              <w14:schemeClr w14:val="tx1"/>
            </w14:solidFill>
          </w14:textFill>
        </w:rPr>
        <w:t>。</w:t>
      </w:r>
    </w:p>
    <w:p w14:paraId="0E75EAFC">
      <w:pPr>
        <w:spacing w:line="288" w:lineRule="auto"/>
        <w:ind w:left="420" w:hanging="420" w:hanging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21</w:t>
      </w:r>
      <w:r>
        <w:rPr>
          <w:color w:val="000000" w:themeColor="text1"/>
          <w14:textFill>
            <w14:solidFill>
              <w14:schemeClr w14:val="tx1"/>
            </w14:solidFill>
          </w14:textFill>
        </w:rPr>
        <w:t>．</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12分</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I型糖尿病</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T1D</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是一种以胰岛B细胞进行性损伤、胰岛素分泌不足为主要表现的自身免疫病。T1D患者体内仍存留部分具有再生能力的胰岛B细胞，研究促进其再生的机制，对减少并发症的发生具有重要意义。</w:t>
      </w:r>
    </w:p>
    <w:p w14:paraId="722BA92E">
      <w:pPr>
        <w:spacing w:line="288" w:lineRule="auto"/>
        <w:ind w:left="672" w:leftChars="200" w:hanging="252" w:hangingChars="1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1</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T1D患者胰岛B细胞向</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细胞呈递抗原，同时</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细胞分泌</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促进该细胞增殖分化，进而攻击胰岛B细胞；此外，T1D患者</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细胞直接识别胰岛B细胞表面抗原，该细胞接受辅助性T细胞直接接触和细胞因子等刺激，增殖分化后分泌</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 xml:space="preserve">，这些免疫细胞和免疫活性物质共同作用使胰岛B细胞损伤。 </w:t>
      </w:r>
    </w:p>
    <w:p w14:paraId="4BCA1EEF">
      <w:pPr>
        <w:spacing w:line="288" w:lineRule="auto"/>
        <w:ind w:left="672" w:leftChars="200" w:hanging="252" w:hangingChars="1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w:t>
      </w:r>
      <w:r>
        <w:rPr>
          <w:color w:val="000000" w:themeColor="text1"/>
          <w:szCs w:val="22"/>
          <w14:textFill>
            <w14:solidFill>
              <w14:schemeClr w14:val="tx1"/>
            </w14:solidFill>
          </w14:textFill>
        </w:rPr>
        <w:t>CD20是人体B淋巴细胞的特异性膜蛋白之一</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为制备抗CD20的单克隆抗体，研究者向小鼠多次注射</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获取B淋巴细胞，诱导其与骨髓瘤细胞融合，将筛选出的杂交瘤细胞用</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填器材</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进行克隆化培养和抗体检测。最终将筛选的细胞进行体内培养，从小鼠腹水中提取抗CD20单克隆抗体。</w:t>
      </w:r>
    </w:p>
    <w:p w14:paraId="35031D85">
      <w:pPr>
        <w:spacing w:line="288" w:lineRule="auto"/>
        <w:ind w:left="672" w:leftChars="200" w:hanging="252" w:hangingChars="1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w:t>
      </w:r>
      <w:r>
        <w:rPr>
          <w:color w:val="000000" w:themeColor="text1"/>
          <w:szCs w:val="22"/>
          <w14:textFill>
            <w14:solidFill>
              <w14:schemeClr w14:val="tx1"/>
            </w14:solidFill>
          </w14:textFill>
        </w:rPr>
        <w:t>IL-10是一种免疫抑制因子。为评估IL-10与抗CD20单抗联合治疗自身免疫病的效果，设置4组I型糖尿病小鼠，进行相关治疗，实验结果如图1。</w:t>
      </w:r>
    </w:p>
    <w:p w14:paraId="63630A9E">
      <w:pPr>
        <w:spacing w:line="288" w:lineRule="auto"/>
        <w:ind w:left="672" w:leftChars="200" w:hanging="252" w:hangingChars="120"/>
        <w:rPr>
          <w:color w:val="000000" w:themeColor="text1"/>
          <w:szCs w:val="22"/>
          <w14:textFill>
            <w14:solidFill>
              <w14:schemeClr w14:val="tx1"/>
            </w14:solidFill>
          </w14:textFill>
        </w:rPr>
      </w:pPr>
      <w:r>
        <w:rPr>
          <w:color w:val="000000" w:themeColor="text1"/>
          <w:kern w:val="0"/>
          <w:szCs w:val="21"/>
          <w14:textFill>
            <w14:solidFill>
              <w14:schemeClr w14:val="tx1"/>
            </w14:solidFill>
          </w14:textFill>
        </w:rPr>
        <w:drawing>
          <wp:anchor distT="0" distB="0" distL="114300" distR="114300" simplePos="0" relativeHeight="251662336" behindDoc="1" locked="0" layoutInCell="1" allowOverlap="1">
            <wp:simplePos x="0" y="0"/>
            <wp:positionH relativeFrom="column">
              <wp:posOffset>276225</wp:posOffset>
            </wp:positionH>
            <wp:positionV relativeFrom="paragraph">
              <wp:posOffset>200025</wp:posOffset>
            </wp:positionV>
            <wp:extent cx="4996180" cy="1828165"/>
            <wp:effectExtent l="0" t="0" r="0" b="635"/>
            <wp:wrapTight wrapText="bothSides">
              <wp:wrapPolygon>
                <wp:start x="0" y="0"/>
                <wp:lineTo x="0" y="21382"/>
                <wp:lineTo x="21496" y="21382"/>
                <wp:lineTo x="21496" y="0"/>
                <wp:lineTo x="0" y="0"/>
              </wp:wrapPolygon>
            </wp:wrapTight>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
                      <a:lum bright="-6000" contrast="18000"/>
                    </a:blip>
                    <a:srcRect t="2500" b="4942"/>
                    <a:stretch>
                      <a:fillRect/>
                    </a:stretch>
                  </pic:blipFill>
                  <pic:spPr>
                    <a:xfrm>
                      <a:off x="0" y="0"/>
                      <a:ext cx="4996180" cy="1828165"/>
                    </a:xfrm>
                    <a:prstGeom prst="rect">
                      <a:avLst/>
                    </a:prstGeom>
                  </pic:spPr>
                </pic:pic>
              </a:graphicData>
            </a:graphic>
          </wp:anchor>
        </w:drawing>
      </w:r>
    </w:p>
    <w:p w14:paraId="3635C87A">
      <w:pPr>
        <w:spacing w:line="288" w:lineRule="auto"/>
        <w:ind w:left="657" w:leftChars="200" w:hanging="237" w:hangingChars="120"/>
        <w:rPr>
          <w:color w:val="000000" w:themeColor="text1"/>
          <w:spacing w:val="-6"/>
          <w:szCs w:val="22"/>
          <w14:textFill>
            <w14:solidFill>
              <w14:schemeClr w14:val="tx1"/>
            </w14:solidFill>
          </w14:textFill>
        </w:rPr>
      </w:pPr>
      <w:r>
        <w:rPr>
          <w:color w:val="000000" w:themeColor="text1"/>
          <w:spacing w:val="-6"/>
          <w:szCs w:val="22"/>
          <w14:textFill>
            <w14:solidFill>
              <w14:schemeClr w14:val="tx1"/>
            </w14:solidFill>
          </w14:textFill>
        </w:rPr>
        <w:t>据图1可得出结论：</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eastAsia="Times New Roman"/>
          <w:color w:val="000000" w:themeColor="text1"/>
          <w:spacing w:val="-6"/>
          <w:szCs w:val="22"/>
          <w:u w:val="single"/>
          <w14:textFill>
            <w14:solidFill>
              <w14:schemeClr w14:val="tx1"/>
            </w14:solidFill>
          </w14:textFill>
        </w:rPr>
        <w:t>▲</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14:textFill>
            <w14:solidFill>
              <w14:schemeClr w14:val="tx1"/>
            </w14:solidFill>
          </w14:textFill>
        </w:rPr>
        <w:t>(</w:t>
      </w:r>
      <w:r>
        <w:rPr>
          <w:color w:val="000000" w:themeColor="text1"/>
          <w:spacing w:val="-6"/>
          <w:szCs w:val="22"/>
          <w14:textFill>
            <w14:solidFill>
              <w14:schemeClr w14:val="tx1"/>
            </w14:solidFill>
          </w14:textFill>
        </w:rPr>
        <w:t>2分</w:t>
      </w:r>
      <w:r>
        <w:rPr>
          <w:rFonts w:hint="eastAsia"/>
          <w:color w:val="000000" w:themeColor="text1"/>
          <w:spacing w:val="-6"/>
          <w:szCs w:val="22"/>
          <w14:textFill>
            <w14:solidFill>
              <w14:schemeClr w14:val="tx1"/>
            </w14:solidFill>
          </w14:textFill>
        </w:rPr>
        <w:t>)</w:t>
      </w:r>
      <w:r>
        <w:rPr>
          <w:color w:val="000000" w:themeColor="text1"/>
          <w:spacing w:val="-6"/>
          <w:szCs w:val="22"/>
          <w14:textFill>
            <w14:solidFill>
              <w14:schemeClr w14:val="tx1"/>
            </w14:solidFill>
          </w14:textFill>
        </w:rPr>
        <w:t>；</w:t>
      </w:r>
      <w:r>
        <w:rPr>
          <w:color w:val="000000" w:themeColor="text1"/>
          <w:spacing w:val="-6"/>
          <w:kern w:val="0"/>
          <w:szCs w:val="21"/>
          <w14:textFill>
            <w14:solidFill>
              <w14:schemeClr w14:val="tx1"/>
            </w14:solidFill>
          </w14:textFill>
        </w:rPr>
        <w:t>据图2分析，出现图1结果的原因是</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u w:val="single"/>
          <w14:textFill>
            <w14:solidFill>
              <w14:schemeClr w14:val="tx1"/>
            </w14:solidFill>
          </w14:textFill>
        </w:rPr>
        <w:t xml:space="preserve"> </w:t>
      </w:r>
      <w:r>
        <w:rPr>
          <w:color w:val="000000" w:themeColor="text1"/>
          <w:spacing w:val="-6"/>
          <w:szCs w:val="22"/>
          <w:u w:val="single"/>
          <w14:textFill>
            <w14:solidFill>
              <w14:schemeClr w14:val="tx1"/>
            </w14:solidFill>
          </w14:textFill>
        </w:rPr>
        <w:t xml:space="preserve"> </w:t>
      </w:r>
      <w:r>
        <w:rPr>
          <w:rFonts w:eastAsia="Times New Roman"/>
          <w:color w:val="000000" w:themeColor="text1"/>
          <w:spacing w:val="-6"/>
          <w:szCs w:val="22"/>
          <w:u w:val="single"/>
          <w14:textFill>
            <w14:solidFill>
              <w14:schemeClr w14:val="tx1"/>
            </w14:solidFill>
          </w14:textFill>
        </w:rPr>
        <w:t>▲</w:t>
      </w:r>
      <w:r>
        <w:rPr>
          <w:color w:val="000000" w:themeColor="text1"/>
          <w:spacing w:val="-6"/>
          <w:szCs w:val="22"/>
          <w:u w:val="single"/>
          <w14:textFill>
            <w14:solidFill>
              <w14:schemeClr w14:val="tx1"/>
            </w14:solidFill>
          </w14:textFill>
        </w:rPr>
        <w:t xml:space="preserve">  </w:t>
      </w:r>
      <w:r>
        <w:rPr>
          <w:rFonts w:hint="eastAsia"/>
          <w:color w:val="000000" w:themeColor="text1"/>
          <w:spacing w:val="-6"/>
          <w:szCs w:val="22"/>
          <w14:textFill>
            <w14:solidFill>
              <w14:schemeClr w14:val="tx1"/>
            </w14:solidFill>
          </w14:textFill>
        </w:rPr>
        <w:t>(</w:t>
      </w:r>
      <w:r>
        <w:rPr>
          <w:color w:val="000000" w:themeColor="text1"/>
          <w:spacing w:val="-6"/>
          <w:szCs w:val="22"/>
          <w14:textFill>
            <w14:solidFill>
              <w14:schemeClr w14:val="tx1"/>
            </w14:solidFill>
          </w14:textFill>
        </w:rPr>
        <w:t>2分</w:t>
      </w:r>
      <w:r>
        <w:rPr>
          <w:rFonts w:hint="eastAsia"/>
          <w:color w:val="000000" w:themeColor="text1"/>
          <w:spacing w:val="-6"/>
          <w:szCs w:val="22"/>
          <w14:textFill>
            <w14:solidFill>
              <w14:schemeClr w14:val="tx1"/>
            </w14:solidFill>
          </w14:textFill>
        </w:rPr>
        <w:t>)</w:t>
      </w:r>
      <w:r>
        <w:rPr>
          <w:color w:val="000000" w:themeColor="text1"/>
          <w:spacing w:val="-6"/>
          <w:szCs w:val="22"/>
          <w14:textFill>
            <w14:solidFill>
              <w14:schemeClr w14:val="tx1"/>
            </w14:solidFill>
          </w14:textFill>
        </w:rPr>
        <w:t>。</w:t>
      </w:r>
    </w:p>
    <w:p w14:paraId="501BCBA3">
      <w:pPr>
        <w:spacing w:line="288" w:lineRule="auto"/>
        <w:ind w:left="672" w:leftChars="200" w:hanging="252" w:hangingChars="1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w:t>
      </w:r>
      <w:r>
        <w:rPr>
          <w:color w:val="000000" w:themeColor="text1"/>
          <w:szCs w:val="22"/>
          <w14:textFill>
            <w14:solidFill>
              <w14:schemeClr w14:val="tx1"/>
            </w14:solidFill>
          </w14:textFill>
        </w:rPr>
        <w:t>为进一步研究抗CD20单抗+IL-10联合治疗对糖尿病鼠胰岛B细胞功能的影响，研究者还需检测四组糖尿病鼠</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等指标。</w:t>
      </w:r>
    </w:p>
    <w:p w14:paraId="7D769BBE">
      <w:pPr>
        <w:spacing w:line="288" w:lineRule="auto"/>
        <w:ind w:left="420" w:hanging="420" w:hangingChars="200"/>
        <w:rPr>
          <w:color w:val="000000" w:themeColor="text1"/>
          <w14:textFill>
            <w14:solidFill>
              <w14:schemeClr w14:val="tx1"/>
            </w14:solidFill>
          </w14:textFill>
        </w:rPr>
      </w:pPr>
      <w:bookmarkStart w:id="0" w:name="OLE_LINK2"/>
      <w:r>
        <w:rPr>
          <w:color w:val="000000" w:themeColor="text1"/>
          <w14:textFill>
            <w14:solidFill>
              <w14:schemeClr w14:val="tx1"/>
            </w14:solidFill>
          </w14:textFill>
        </w:rPr>
        <w:t>22．</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11分</w:t>
      </w:r>
      <w:r>
        <w:rPr>
          <w:rFonts w:hint="eastAsia"/>
          <w:color w:val="000000" w:themeColor="text1"/>
          <w:szCs w:val="22"/>
          <w14:textFill>
            <w14:solidFill>
              <w14:schemeClr w14:val="tx1"/>
            </w14:solidFill>
          </w14:textFill>
        </w:rPr>
        <w:t>)</w:t>
      </w:r>
      <w:r>
        <w:rPr>
          <w:color w:val="000000" w:themeColor="text1"/>
          <w14:textFill>
            <w14:solidFill>
              <w14:schemeClr w14:val="tx1"/>
            </w14:solidFill>
          </w14:textFill>
        </w:rPr>
        <w:t>为探明某地区猪獾与花面狸竞争共存的机制，研究人员进行了有关调查，结果如图所示。其中猪獾主要以蚯蚓和植物果实为食，辅以昆虫和鼠类；花面狸主要以鼠类、两栖动物和爬行动物为食，辅以植物果实和昆虫。回答下列问题。</w:t>
      </w:r>
    </w:p>
    <w:p w14:paraId="3832A2B4">
      <w:pPr>
        <w:spacing w:line="360" w:lineRule="auto"/>
        <w:rPr>
          <w:color w:val="000000" w:themeColor="text1"/>
          <w:kern w:val="0"/>
          <w:sz w:val="24"/>
          <w14:textFill>
            <w14:solidFill>
              <w14:schemeClr w14:val="tx1"/>
            </w14:solidFill>
          </w14:textFill>
        </w:rPr>
      </w:pPr>
      <w:r>
        <w:rPr>
          <w:rFonts w:eastAsia="Times New Roman"/>
          <w:color w:val="000000" w:themeColor="text1"/>
          <w:kern w:val="0"/>
          <w:sz w:val="24"/>
          <w14:textFill>
            <w14:solidFill>
              <w14:schemeClr w14:val="tx1"/>
            </w14:solidFill>
          </w14:textFill>
        </w:rPr>
        <w:drawing>
          <wp:inline distT="0" distB="0" distL="114300" distR="114300">
            <wp:extent cx="5276215" cy="1720850"/>
            <wp:effectExtent l="0" t="0" r="63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4">
                      <a:lum bright="-18000" contrast="36000"/>
                    </a:blip>
                    <a:stretch>
                      <a:fillRect/>
                    </a:stretch>
                  </pic:blipFill>
                  <pic:spPr>
                    <a:xfrm>
                      <a:off x="0" y="0"/>
                      <a:ext cx="5276800" cy="1721460"/>
                    </a:xfrm>
                    <a:prstGeom prst="rect">
                      <a:avLst/>
                    </a:prstGeom>
                  </pic:spPr>
                </pic:pic>
              </a:graphicData>
            </a:graphic>
          </wp:inline>
        </w:drawing>
      </w:r>
    </w:p>
    <w:p w14:paraId="72B32BB1">
      <w:pPr>
        <w:spacing w:line="288" w:lineRule="auto"/>
        <w:ind w:left="672" w:leftChars="200" w:hanging="252" w:hangingChars="120"/>
        <w:rPr>
          <w:color w:val="000000" w:themeColor="text1"/>
          <w14:textFill>
            <w14:solidFill>
              <w14:schemeClr w14:val="tx1"/>
            </w14:solidFill>
          </w14:textFill>
        </w:rPr>
      </w:pPr>
      <w:r>
        <w:rPr>
          <w:color w:val="000000" w:themeColor="text1"/>
          <w14:textFill>
            <w14:solidFill>
              <w14:schemeClr w14:val="tx1"/>
            </w14:solidFill>
          </w14:textFill>
        </w:rPr>
        <w:t>(1)研究人员常用红外触发相机调查猪獾和花面狸的活动规律，该方法的优点有</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答出2点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。探明猪獾与花面狸竞争共存机制属于</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水平的研究。</w:t>
      </w:r>
    </w:p>
    <w:p w14:paraId="2E1D01CD">
      <w:pPr>
        <w:spacing w:line="288" w:lineRule="auto"/>
        <w:ind w:left="672" w:leftChars="200" w:hanging="252" w:hangingChars="120"/>
        <w:rPr>
          <w:color w:val="000000" w:themeColor="text1"/>
          <w14:textFill>
            <w14:solidFill>
              <w14:schemeClr w14:val="tx1"/>
            </w14:solidFill>
          </w14:textFill>
        </w:rPr>
      </w:pPr>
      <w:r>
        <w:rPr>
          <w:color w:val="000000" w:themeColor="text1"/>
          <w14:textFill>
            <w14:solidFill>
              <w14:schemeClr w14:val="tx1"/>
            </w14:solidFill>
          </w14:textFill>
        </w:rPr>
        <w:t>(2)与其他栖息地相比，阔叶林更适合猪獾生活的原因可能有</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p>
    <w:p w14:paraId="32B3149D">
      <w:pPr>
        <w:spacing w:line="288" w:lineRule="auto"/>
        <w:ind w:left="672" w:leftChars="200" w:hanging="252" w:hangingChars="120"/>
        <w:rPr>
          <w:color w:val="000000" w:themeColor="text1"/>
          <w14:textFill>
            <w14:solidFill>
              <w14:schemeClr w14:val="tx1"/>
            </w14:solidFill>
          </w14:textFill>
        </w:rPr>
      </w:pPr>
      <w:r>
        <w:rPr>
          <w:color w:val="000000" w:themeColor="text1"/>
          <w14:textFill>
            <w14:solidFill>
              <w14:schemeClr w14:val="tx1"/>
            </w14:solidFill>
          </w14:textFill>
        </w:rPr>
        <w:t>(3)</w:t>
      </w:r>
      <w:r>
        <w:rPr>
          <w:color w:val="000000" w:themeColor="text1"/>
          <w:spacing w:val="-6"/>
          <w14:textFill>
            <w14:solidFill>
              <w14:schemeClr w14:val="tx1"/>
            </w14:solidFill>
          </w14:textFill>
        </w:rPr>
        <w:t>根据题干和图示信息分析，猪獾与花面狸在生态位上的分化具体表现在</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2分</w:t>
      </w:r>
      <w:r>
        <w:rPr>
          <w:rFonts w:hint="eastAsia"/>
          <w:color w:val="000000" w:themeColor="text1"/>
          <w:szCs w:val="22"/>
          <w14:textFill>
            <w14:solidFill>
              <w14:schemeClr w14:val="tx1"/>
            </w14:solidFill>
          </w14:textFill>
        </w:rPr>
        <w:t>)</w:t>
      </w:r>
      <w:r>
        <w:rPr>
          <w:color w:val="000000" w:themeColor="text1"/>
          <w14:textFill>
            <w14:solidFill>
              <w14:schemeClr w14:val="tx1"/>
            </w14:solidFill>
          </w14:textFill>
        </w:rPr>
        <w:t>等维度，这种分化对两者共存的意义是</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p>
    <w:p w14:paraId="0420FCBE">
      <w:pPr>
        <w:spacing w:line="288" w:lineRule="auto"/>
        <w:ind w:left="672" w:leftChars="200" w:hanging="252" w:hangingChars="1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)在植物果实匮乏的旱季，猪獾转向捕食昆虫和小型哺乳动物。相较于雨季，旱季猪獾和花面狸的食物类型重叠度将</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选填“增加”或“减少”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，据图分析两者在旱季缓解食物竞争压力的行为是</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p>
    <w:p w14:paraId="4BDE56C8">
      <w:pPr>
        <w:spacing w:line="288" w:lineRule="auto"/>
        <w:ind w:left="657" w:leftChars="200" w:hanging="237" w:hangingChars="120"/>
        <w:rPr>
          <w:color w:val="000000" w:themeColor="text1"/>
          <w:spacing w:val="-6"/>
          <w14:textFill>
            <w14:solidFill>
              <w14:schemeClr w14:val="tx1"/>
            </w14:solidFill>
          </w14:textFill>
        </w:rPr>
      </w:pPr>
      <w:r>
        <w:rPr>
          <w:color w:val="000000" w:themeColor="text1"/>
          <w:spacing w:val="-6"/>
          <w14:textFill>
            <w14:solidFill>
              <w14:schemeClr w14:val="tx1"/>
            </w14:solidFill>
          </w14:textFill>
        </w:rPr>
        <w:t>(</w:t>
      </w:r>
      <w:r>
        <w:rPr>
          <w:rFonts w:hint="eastAsia"/>
          <w:color w:val="000000" w:themeColor="text1"/>
          <w:spacing w:val="-6"/>
          <w14:textFill>
            <w14:solidFill>
              <w14:schemeClr w14:val="tx1"/>
            </w14:solidFill>
          </w14:textFill>
        </w:rPr>
        <w:t>5</w:t>
      </w:r>
      <w:r>
        <w:rPr>
          <w:color w:val="000000" w:themeColor="text1"/>
          <w:spacing w:val="-6"/>
          <w14:textFill>
            <w14:solidFill>
              <w14:schemeClr w14:val="tx1"/>
            </w14:solidFill>
          </w14:textFill>
        </w:rPr>
        <w:t>)调查发现，该地区主要捕食猪獾和花面狸的大型食肉动物的数量正在不断下降甚至消失，不考虑其他因素的干扰，推测该地区将发生的变化有</w:t>
      </w:r>
      <w:r>
        <w:rPr>
          <w:color w:val="000000" w:themeColor="text1"/>
          <w:spacing w:val="-6"/>
          <w:szCs w:val="22"/>
          <w:u w:val="single"/>
          <w14:textFill>
            <w14:solidFill>
              <w14:schemeClr w14:val="tx1"/>
            </w14:solidFill>
          </w14:textFill>
        </w:rPr>
        <w:t xml:space="preserve">   </w:t>
      </w:r>
      <w:r>
        <w:rPr>
          <w:rFonts w:eastAsia="Times New Roman"/>
          <w:color w:val="000000" w:themeColor="text1"/>
          <w:spacing w:val="-6"/>
          <w:szCs w:val="22"/>
          <w:u w:val="single"/>
          <w14:textFill>
            <w14:solidFill>
              <w14:schemeClr w14:val="tx1"/>
            </w14:solidFill>
          </w14:textFill>
        </w:rPr>
        <w:t>▲</w:t>
      </w:r>
      <w:r>
        <w:rPr>
          <w:color w:val="000000" w:themeColor="text1"/>
          <w:spacing w:val="-6"/>
          <w:szCs w:val="22"/>
          <w:u w:val="single"/>
          <w14:textFill>
            <w14:solidFill>
              <w14:schemeClr w14:val="tx1"/>
            </w14:solidFill>
          </w14:textFill>
        </w:rPr>
        <w:t xml:space="preserve">   </w:t>
      </w:r>
      <w:r>
        <w:rPr>
          <w:rFonts w:hint="eastAsia"/>
          <w:color w:val="000000" w:themeColor="text1"/>
          <w:spacing w:val="-6"/>
          <w14:textFill>
            <w14:solidFill>
              <w14:schemeClr w14:val="tx1"/>
            </w14:solidFill>
          </w14:textFill>
        </w:rPr>
        <w:t>(</w:t>
      </w:r>
      <w:r>
        <w:rPr>
          <w:color w:val="000000" w:themeColor="text1"/>
          <w:spacing w:val="-6"/>
          <w14:textFill>
            <w14:solidFill>
              <w14:schemeClr w14:val="tx1"/>
            </w14:solidFill>
          </w14:textFill>
        </w:rPr>
        <w:t>填序号</w:t>
      </w:r>
      <w:r>
        <w:rPr>
          <w:rFonts w:hint="eastAsia"/>
          <w:color w:val="000000" w:themeColor="text1"/>
          <w:spacing w:val="-6"/>
          <w14:textFill>
            <w14:solidFill>
              <w14:schemeClr w14:val="tx1"/>
            </w14:solidFill>
          </w14:textFill>
        </w:rPr>
        <w:t>)</w:t>
      </w:r>
      <w:r>
        <w:rPr>
          <w:rFonts w:hint="eastAsia"/>
          <w:color w:val="000000" w:themeColor="text1"/>
          <w:spacing w:val="-6"/>
          <w:szCs w:val="22"/>
          <w14:textFill>
            <w14:solidFill>
              <w14:schemeClr w14:val="tx1"/>
            </w14:solidFill>
          </w14:textFill>
        </w:rPr>
        <w:t>(</w:t>
      </w:r>
      <w:r>
        <w:rPr>
          <w:color w:val="000000" w:themeColor="text1"/>
          <w:spacing w:val="-6"/>
          <w:szCs w:val="22"/>
          <w14:textFill>
            <w14:solidFill>
              <w14:schemeClr w14:val="tx1"/>
            </w14:solidFill>
          </w14:textFill>
        </w:rPr>
        <w:t>2分</w:t>
      </w:r>
      <w:r>
        <w:rPr>
          <w:rFonts w:hint="eastAsia"/>
          <w:color w:val="000000" w:themeColor="text1"/>
          <w:spacing w:val="-6"/>
          <w:szCs w:val="22"/>
          <w14:textFill>
            <w14:solidFill>
              <w14:schemeClr w14:val="tx1"/>
            </w14:solidFill>
          </w14:textFill>
        </w:rPr>
        <w:t>)</w:t>
      </w:r>
      <w:r>
        <w:rPr>
          <w:color w:val="000000" w:themeColor="text1"/>
          <w:spacing w:val="-6"/>
          <w14:textFill>
            <w14:solidFill>
              <w14:schemeClr w14:val="tx1"/>
            </w14:solidFill>
          </w14:textFill>
        </w:rPr>
        <w:t>。</w:t>
      </w:r>
    </w:p>
    <w:p w14:paraId="25B703FD">
      <w:pPr>
        <w:spacing w:line="288" w:lineRule="auto"/>
        <w:ind w:left="987" w:leftChars="300" w:hanging="357" w:hangingChars="170"/>
        <w:rPr>
          <w:color w:val="000000" w:themeColor="text1"/>
          <w14:textFill>
            <w14:solidFill>
              <w14:schemeClr w14:val="tx1"/>
            </w14:solidFill>
          </w14:textFill>
        </w:rPr>
      </w:pPr>
      <w:r>
        <w:rPr>
          <w:color w:val="000000" w:themeColor="text1"/>
          <w14:textFill>
            <w14:solidFill>
              <w14:schemeClr w14:val="tx1"/>
            </w14:solidFill>
          </w14:textFill>
        </w:rPr>
        <w:t>①猪獾和花面狸种群的出生率在短时间内会上升</w:t>
      </w:r>
    </w:p>
    <w:p w14:paraId="27FB5C55">
      <w:pPr>
        <w:spacing w:line="288" w:lineRule="auto"/>
        <w:ind w:left="987" w:leftChars="300" w:hanging="357" w:hangingChars="170"/>
        <w:rPr>
          <w:color w:val="000000" w:themeColor="text1"/>
          <w14:textFill>
            <w14:solidFill>
              <w14:schemeClr w14:val="tx1"/>
            </w14:solidFill>
          </w14:textFill>
        </w:rPr>
      </w:pPr>
      <w:r>
        <w:rPr>
          <w:color w:val="000000" w:themeColor="text1"/>
          <w14:textFill>
            <w14:solidFill>
              <w14:schemeClr w14:val="tx1"/>
            </w14:solidFill>
          </w14:textFill>
        </w:rPr>
        <w:t>②猪獾和花面狸的种间竞争强度将逐渐减小</w:t>
      </w:r>
    </w:p>
    <w:p w14:paraId="7AD0A435">
      <w:pPr>
        <w:spacing w:line="288" w:lineRule="auto"/>
        <w:ind w:left="987" w:leftChars="300" w:hanging="357" w:hangingChars="170"/>
        <w:rPr>
          <w:color w:val="000000" w:themeColor="text1"/>
          <w14:textFill>
            <w14:solidFill>
              <w14:schemeClr w14:val="tx1"/>
            </w14:solidFill>
          </w14:textFill>
        </w:rPr>
      </w:pPr>
      <w:r>
        <w:rPr>
          <w:color w:val="000000" w:themeColor="text1"/>
          <w14:textFill>
            <w14:solidFill>
              <w14:schemeClr w14:val="tx1"/>
            </w14:solidFill>
          </w14:textFill>
        </w:rPr>
        <w:t>③群落结构保持不变，物种丰富度减小</w:t>
      </w:r>
    </w:p>
    <w:p w14:paraId="14EF1E67">
      <w:pPr>
        <w:spacing w:line="288" w:lineRule="auto"/>
        <w:ind w:left="987" w:leftChars="300" w:hanging="357" w:hangingChars="170"/>
        <w:rPr>
          <w:color w:val="000000" w:themeColor="text1"/>
          <w14:textFill>
            <w14:solidFill>
              <w14:schemeClr w14:val="tx1"/>
            </w14:solidFill>
          </w14:textFill>
        </w:rPr>
      </w:pPr>
      <w:r>
        <w:rPr>
          <w:color w:val="000000" w:themeColor="text1"/>
          <w14:textFill>
            <w14:solidFill>
              <w14:schemeClr w14:val="tx1"/>
            </w14:solidFill>
          </w14:textFill>
        </w:rPr>
        <w:t>④食物链营养级间能量传递效率大幅提高</w:t>
      </w:r>
    </w:p>
    <w:p w14:paraId="3D266101">
      <w:pPr>
        <w:spacing w:line="288" w:lineRule="auto"/>
        <w:ind w:left="987" w:leftChars="300" w:hanging="357" w:hangingChars="170"/>
        <w:rPr>
          <w:color w:val="000000" w:themeColor="text1"/>
          <w14:textFill>
            <w14:solidFill>
              <w14:schemeClr w14:val="tx1"/>
            </w14:solidFill>
          </w14:textFill>
        </w:rPr>
      </w:pPr>
      <w:r>
        <w:rPr>
          <w:color w:val="000000" w:themeColor="text1"/>
          <w14:textFill>
            <w14:solidFill>
              <w14:schemeClr w14:val="tx1"/>
            </w14:solidFill>
          </w14:textFill>
        </w:rPr>
        <w:t>⑤通过生态系统的自我调节，逐步构建新的生态平衡</w:t>
      </w:r>
    </w:p>
    <w:p w14:paraId="11D6C344">
      <w:pPr>
        <w:wordWrap w:val="0"/>
        <w:spacing w:line="288" w:lineRule="auto"/>
        <w:ind w:left="300" w:right="20" w:hanging="300"/>
        <w:rPr>
          <w:color w:val="000000" w:themeColor="text1"/>
          <w:sz w:val="24"/>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szCs w:val="22"/>
          <w14:textFill>
            <w14:solidFill>
              <w14:schemeClr w14:val="tx1"/>
            </w14:solidFill>
          </w14:textFill>
        </w:rPr>
        <w:t>(</w:t>
      </w:r>
      <w:r>
        <w:rPr>
          <w:color w:val="000000" w:themeColor="text1"/>
          <w14:textFill>
            <w14:solidFill>
              <w14:schemeClr w14:val="tx1"/>
            </w14:solidFill>
          </w14:textFill>
        </w:rPr>
        <w:t>11分</w:t>
      </w:r>
      <w:r>
        <w:rPr>
          <w:rFonts w:hint="eastAsia"/>
          <w:color w:val="000000" w:themeColor="text1"/>
          <w:szCs w:val="22"/>
          <w14:textFill>
            <w14:solidFill>
              <w14:schemeClr w14:val="tx1"/>
            </w14:solidFill>
          </w14:textFill>
        </w:rPr>
        <w:t>)</w:t>
      </w:r>
      <w:r>
        <w:rPr>
          <w:color w:val="000000" w:themeColor="text1"/>
          <w:spacing w:val="-6"/>
          <w14:textFill>
            <w14:solidFill>
              <w14:schemeClr w14:val="tx1"/>
            </w14:solidFill>
          </w14:textFill>
        </w:rPr>
        <w:t>某品种杜鹃花的花色有红色、白色、粉红色、紫色，由三对基因</w:t>
      </w:r>
      <w:r>
        <w:rPr>
          <w:rFonts w:hint="eastAsia"/>
          <w:color w:val="000000" w:themeColor="text1"/>
          <w:spacing w:val="-6"/>
          <w14:textFill>
            <w14:solidFill>
              <w14:schemeClr w14:val="tx1"/>
            </w14:solidFill>
          </w14:textFill>
        </w:rPr>
        <w:t>(</w:t>
      </w:r>
      <w:r>
        <w:rPr>
          <w:color w:val="000000" w:themeColor="text1"/>
          <w:spacing w:val="-6"/>
          <w14:textFill>
            <w14:solidFill>
              <w14:schemeClr w14:val="tx1"/>
            </w14:solidFill>
          </w14:textFill>
        </w:rPr>
        <w:t>A/a、B/b和C/c</w:t>
      </w:r>
      <w:r>
        <w:rPr>
          <w:rFonts w:hint="eastAsia"/>
          <w:color w:val="000000" w:themeColor="text1"/>
          <w:spacing w:val="-6"/>
          <w14:textFill>
            <w14:solidFill>
              <w14:schemeClr w14:val="tx1"/>
            </w14:solidFill>
          </w14:textFill>
        </w:rPr>
        <w:t>)</w:t>
      </w:r>
      <w:r>
        <w:rPr>
          <w:color w:val="000000" w:themeColor="text1"/>
          <w14:textFill>
            <w14:solidFill>
              <w14:schemeClr w14:val="tx1"/>
            </w14:solidFill>
          </w14:textFill>
        </w:rPr>
        <w:t>控制，研究人员利用红色、白色、紫色杜鹃花三种品系(同一种品系基因型相同)进行了有关实验，结果如下表。请回答下列问题。</w:t>
      </w:r>
    </w:p>
    <w:tbl>
      <w:tblPr>
        <w:tblStyle w:val="5"/>
        <w:tblW w:w="7779" w:type="dxa"/>
        <w:tblInd w:w="36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140"/>
        <w:gridCol w:w="1616"/>
        <w:gridCol w:w="1276"/>
        <w:gridCol w:w="3747"/>
      </w:tblGrid>
      <w:tr w14:paraId="1459D3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0" w:hRule="atLeast"/>
        </w:trPr>
        <w:tc>
          <w:tcPr>
            <w:tcW w:w="1140" w:type="dxa"/>
            <w:vAlign w:val="center"/>
          </w:tcPr>
          <w:p w14:paraId="36403BEF">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组别</w:t>
            </w:r>
          </w:p>
        </w:tc>
        <w:tc>
          <w:tcPr>
            <w:tcW w:w="1616" w:type="dxa"/>
            <w:vAlign w:val="center"/>
          </w:tcPr>
          <w:p w14:paraId="198D08DC">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P</w:t>
            </w:r>
          </w:p>
        </w:tc>
        <w:tc>
          <w:tcPr>
            <w:tcW w:w="1276" w:type="dxa"/>
            <w:vAlign w:val="center"/>
          </w:tcPr>
          <w:p w14:paraId="7D886D78">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F</w:t>
            </w:r>
            <w:r>
              <w:rPr>
                <w:color w:val="000000" w:themeColor="text1"/>
                <w:vertAlign w:val="subscript"/>
                <w14:textFill>
                  <w14:solidFill>
                    <w14:schemeClr w14:val="tx1"/>
                  </w14:solidFill>
                </w14:textFill>
              </w:rPr>
              <w:t xml:space="preserve">1 </w:t>
            </w:r>
            <w:r>
              <w:rPr>
                <w:color w:val="000000" w:themeColor="text1"/>
                <w14:textFill>
                  <w14:solidFill>
                    <w14:schemeClr w14:val="tx1"/>
                  </w14:solidFill>
                </w14:textFill>
              </w:rPr>
              <w:t>表型</w:t>
            </w:r>
          </w:p>
        </w:tc>
        <w:tc>
          <w:tcPr>
            <w:tcW w:w="3747" w:type="dxa"/>
            <w:vAlign w:val="center"/>
          </w:tcPr>
          <w:p w14:paraId="7DBEB44E">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F</w:t>
            </w:r>
            <w:r>
              <w:rPr>
                <w:color w:val="000000" w:themeColor="text1"/>
                <w:vertAlign w:val="subscript"/>
                <w14:textFill>
                  <w14:solidFill>
                    <w14:schemeClr w14:val="tx1"/>
                  </w14:solidFill>
                </w14:textFill>
              </w:rPr>
              <w:t xml:space="preserve">2 </w:t>
            </w:r>
            <w:r>
              <w:rPr>
                <w:color w:val="000000" w:themeColor="text1"/>
                <w14:textFill>
                  <w14:solidFill>
                    <w14:schemeClr w14:val="tx1"/>
                  </w14:solidFill>
                </w14:textFill>
              </w:rPr>
              <w:t>表型及比例</w:t>
            </w:r>
          </w:p>
        </w:tc>
      </w:tr>
      <w:tr w14:paraId="21F071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0" w:hRule="atLeast"/>
        </w:trPr>
        <w:tc>
          <w:tcPr>
            <w:tcW w:w="1140" w:type="dxa"/>
            <w:vAlign w:val="center"/>
          </w:tcPr>
          <w:p w14:paraId="3F435E1F">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实验一</w:t>
            </w:r>
          </w:p>
        </w:tc>
        <w:tc>
          <w:tcPr>
            <w:tcW w:w="1616" w:type="dxa"/>
            <w:vAlign w:val="center"/>
          </w:tcPr>
          <w:p w14:paraId="6EB40CFF">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红花×白花</w:t>
            </w:r>
          </w:p>
        </w:tc>
        <w:tc>
          <w:tcPr>
            <w:tcW w:w="1276" w:type="dxa"/>
            <w:vAlign w:val="center"/>
          </w:tcPr>
          <w:p w14:paraId="6BFEF6A5">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粉红花</w:t>
            </w:r>
          </w:p>
        </w:tc>
        <w:tc>
          <w:tcPr>
            <w:tcW w:w="3747" w:type="dxa"/>
            <w:vAlign w:val="center"/>
          </w:tcPr>
          <w:p w14:paraId="413F1D1C">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白花:粉红花:红花=1:2:1</w:t>
            </w:r>
          </w:p>
        </w:tc>
      </w:tr>
      <w:tr w14:paraId="47EC24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0" w:hRule="atLeast"/>
        </w:trPr>
        <w:tc>
          <w:tcPr>
            <w:tcW w:w="1140" w:type="dxa"/>
            <w:vAlign w:val="center"/>
          </w:tcPr>
          <w:p w14:paraId="40B08070">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实验二</w:t>
            </w:r>
          </w:p>
        </w:tc>
        <w:tc>
          <w:tcPr>
            <w:tcW w:w="1616" w:type="dxa"/>
            <w:vAlign w:val="center"/>
          </w:tcPr>
          <w:p w14:paraId="09FA2E04">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红花×紫花</w:t>
            </w:r>
          </w:p>
        </w:tc>
        <w:tc>
          <w:tcPr>
            <w:tcW w:w="1276" w:type="dxa"/>
            <w:vAlign w:val="center"/>
          </w:tcPr>
          <w:p w14:paraId="069E0DDE">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红花</w:t>
            </w:r>
          </w:p>
        </w:tc>
        <w:tc>
          <w:tcPr>
            <w:tcW w:w="3747" w:type="dxa"/>
            <w:vAlign w:val="center"/>
          </w:tcPr>
          <w:p w14:paraId="73A14142">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红花:紫花=15:1</w:t>
            </w:r>
          </w:p>
        </w:tc>
      </w:tr>
      <w:tr w14:paraId="10699F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0" w:hRule="atLeast"/>
        </w:trPr>
        <w:tc>
          <w:tcPr>
            <w:tcW w:w="1140" w:type="dxa"/>
            <w:vAlign w:val="center"/>
          </w:tcPr>
          <w:p w14:paraId="695C3C6D">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实验三</w:t>
            </w:r>
          </w:p>
        </w:tc>
        <w:tc>
          <w:tcPr>
            <w:tcW w:w="1616" w:type="dxa"/>
            <w:vAlign w:val="center"/>
          </w:tcPr>
          <w:p w14:paraId="4EAB2DD3">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白花×紫花</w:t>
            </w:r>
          </w:p>
        </w:tc>
        <w:tc>
          <w:tcPr>
            <w:tcW w:w="1276" w:type="dxa"/>
            <w:vAlign w:val="center"/>
          </w:tcPr>
          <w:p w14:paraId="3EF5E700">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粉红花</w:t>
            </w:r>
          </w:p>
        </w:tc>
        <w:tc>
          <w:tcPr>
            <w:tcW w:w="3747" w:type="dxa"/>
            <w:vAlign w:val="center"/>
          </w:tcPr>
          <w:p w14:paraId="693473F3">
            <w:pPr>
              <w:wordWrap w:val="0"/>
              <w:spacing w:line="312" w:lineRule="auto"/>
              <w:jc w:val="center"/>
              <w:rPr>
                <w:color w:val="000000" w:themeColor="text1"/>
                <w:sz w:val="23"/>
                <w14:textFill>
                  <w14:solidFill>
                    <w14:schemeClr w14:val="tx1"/>
                  </w14:solidFill>
                </w14:textFill>
              </w:rPr>
            </w:pPr>
            <w:r>
              <w:rPr>
                <w:color w:val="000000" w:themeColor="text1"/>
                <w14:textFill>
                  <w14:solidFill>
                    <w14:schemeClr w14:val="tx1"/>
                  </w14:solidFill>
                </w14:textFill>
              </w:rPr>
              <w:t>白花:粉红花:红花:紫花=16:32:15:1</w:t>
            </w:r>
          </w:p>
        </w:tc>
      </w:tr>
    </w:tbl>
    <w:p w14:paraId="15A5C673">
      <w:pPr>
        <w:wordWrap w:val="0"/>
        <w:spacing w:line="288" w:lineRule="auto"/>
        <w:ind w:left="420" w:leftChars="100" w:right="2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由实验结果推测，控制花色的三对基因位于</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上，理由是</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p>
    <w:p w14:paraId="2CFC7F69">
      <w:pPr>
        <w:wordWrap w:val="0"/>
        <w:spacing w:line="288" w:lineRule="auto"/>
        <w:ind w:left="420" w:leftChars="100" w:right="2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亲本白色、紫花杜鹃花的基因型是分别是</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；实验二F</w:t>
      </w:r>
      <w:r>
        <w:rPr>
          <w:color w:val="000000" w:themeColor="text1"/>
          <w:vertAlign w:val="subscript"/>
          <w14:textFill>
            <w14:solidFill>
              <w14:schemeClr w14:val="tx1"/>
            </w14:solidFill>
          </w14:textFill>
        </w:rPr>
        <w:t xml:space="preserve">2 </w:t>
      </w:r>
      <w:r>
        <w:rPr>
          <w:color w:val="000000" w:themeColor="text1"/>
          <w14:textFill>
            <w14:solidFill>
              <w14:schemeClr w14:val="tx1"/>
            </w14:solidFill>
          </w14:textFill>
        </w:rPr>
        <w:t>中不能稳定遗传的红花占</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14:textFill>
            <w14:solidFill>
              <w14:schemeClr w14:val="tx1"/>
            </w14:solidFill>
          </w14:textFill>
        </w:rPr>
        <w:t>。</w:t>
      </w:r>
    </w:p>
    <w:p w14:paraId="72D6AC82">
      <w:pPr>
        <w:wordWrap w:val="0"/>
        <w:spacing w:line="288" w:lineRule="auto"/>
        <w:ind w:left="630" w:leftChars="200" w:hanging="210" w:hangingChars="100"/>
        <w:rPr>
          <w:color w:val="000000" w:themeColor="text1"/>
          <w:sz w:val="24"/>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实验三F</w:t>
      </w:r>
      <w:r>
        <w:rPr>
          <w:color w:val="000000" w:themeColor="text1"/>
          <w:vertAlign w:val="subscript"/>
          <w14:textFill>
            <w14:solidFill>
              <w14:schemeClr w14:val="tx1"/>
            </w14:solidFill>
          </w14:textFill>
        </w:rPr>
        <w:t xml:space="preserve">2 </w:t>
      </w:r>
      <w:r>
        <w:rPr>
          <w:color w:val="000000" w:themeColor="text1"/>
          <w14:textFill>
            <w14:solidFill>
              <w14:schemeClr w14:val="tx1"/>
            </w14:solidFill>
          </w14:textFill>
        </w:rPr>
        <w:t>粉红花的基因型有</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种，这些粉红花相互传粉产生的子代中红花所占的比例为</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14:paraId="31994D29">
      <w:pPr>
        <w:wordWrap w:val="0"/>
        <w:spacing w:line="288" w:lineRule="auto"/>
        <w:ind w:left="672" w:leftChars="200" w:hanging="252" w:hangingChars="120"/>
        <w:rPr>
          <w:color w:val="000000" w:themeColor="text1"/>
          <w:sz w:val="24"/>
          <w14:textFill>
            <w14:solidFill>
              <w14:schemeClr w14:val="tx1"/>
            </w14:solidFill>
          </w14:textFill>
        </w:rPr>
      </w:pPr>
      <w:r>
        <w:rPr>
          <w:color w:val="000000" w:themeColor="text1"/>
          <w14:textFill>
            <w14:solidFill>
              <w14:schemeClr w14:val="tx1"/>
            </w14:solidFill>
          </w14:textFill>
        </w:rPr>
        <w:t>(4)杜鹃的叶形卵形和椭圆形由基因 E/e控制，叶片颜色深绿色和绿色由基因 F/f控制。</w:t>
      </w:r>
      <w:r>
        <w:rPr>
          <w:color w:val="000000" w:themeColor="text1"/>
          <w:spacing w:val="-6"/>
          <w14:textFill>
            <w14:solidFill>
              <w14:schemeClr w14:val="tx1"/>
            </w14:solidFill>
          </w14:textFill>
        </w:rPr>
        <w:t>某科研人员用椭圆形绿色植株测交，子代的表型和比例为卵形深绿色叶：椭圆形深绿色叶：卵形绿色叶：椭圆形绿色叶=43：7：7：43。</w:t>
      </w:r>
      <w:r>
        <w:rPr>
          <w:color w:val="000000" w:themeColor="text1"/>
          <w14:textFill>
            <w14:solidFill>
              <w14:schemeClr w14:val="tx1"/>
            </w14:solidFill>
          </w14:textFill>
        </w:rPr>
        <w:t>不考虑突变，亲本椭圆形绿色植株产生的配子的种类及比例为</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，配子出现该比例的原因是该植物</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%的性母细胞减数分裂时</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发生互换。</w:t>
      </w:r>
    </w:p>
    <w:p w14:paraId="0AA140D0">
      <w:pPr>
        <w:widowControl/>
        <w:spacing w:line="288" w:lineRule="auto"/>
        <w:ind w:left="420" w:hanging="420" w:hangingChars="200"/>
        <w:rPr>
          <w:color w:val="000000" w:themeColor="text1"/>
          <w:szCs w:val="21"/>
          <w14:textFill>
            <w14:solidFill>
              <w14:schemeClr w14:val="tx1"/>
            </w14:solidFill>
          </w14:textFill>
        </w:rPr>
      </w:pPr>
      <w:r>
        <w:rPr>
          <w:color w:val="000000" w:themeColor="text1"/>
          <w:kern w:val="24"/>
          <w:szCs w:val="21"/>
          <w14:textFill>
            <w14:solidFill>
              <w14:schemeClr w14:val="tx1"/>
            </w14:solidFill>
          </w14:textFill>
        </w:rPr>
        <w:t>2</w:t>
      </w:r>
      <w:r>
        <w:rPr>
          <w:rFonts w:hint="eastAsia"/>
          <w:color w:val="000000" w:themeColor="text1"/>
          <w:kern w:val="24"/>
          <w:szCs w:val="2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kern w:val="24"/>
          <w:szCs w:val="21"/>
          <w14:textFill>
            <w14:solidFill>
              <w14:schemeClr w14:val="tx1"/>
            </w14:solidFill>
          </w14:textFill>
        </w:rPr>
        <w:t>(</w:t>
      </w:r>
      <w:r>
        <w:rPr>
          <w:color w:val="000000" w:themeColor="text1"/>
          <w:kern w:val="24"/>
          <w:szCs w:val="21"/>
          <w14:textFill>
            <w14:solidFill>
              <w14:schemeClr w14:val="tx1"/>
            </w14:solidFill>
          </w14:textFill>
        </w:rPr>
        <w:t>1</w:t>
      </w:r>
      <w:r>
        <w:rPr>
          <w:rFonts w:hint="eastAsia"/>
          <w:color w:val="000000" w:themeColor="text1"/>
          <w:kern w:val="24"/>
          <w:szCs w:val="21"/>
          <w14:textFill>
            <w14:solidFill>
              <w14:schemeClr w14:val="tx1"/>
            </w14:solidFill>
          </w14:textFill>
        </w:rPr>
        <w:t>2</w:t>
      </w:r>
      <w:r>
        <w:rPr>
          <w:color w:val="000000" w:themeColor="text1"/>
          <w:kern w:val="24"/>
          <w:szCs w:val="21"/>
          <w14:textFill>
            <w14:solidFill>
              <w14:schemeClr w14:val="tx1"/>
            </w14:solidFill>
          </w14:textFill>
        </w:rPr>
        <w:t>分</w:t>
      </w:r>
      <w:r>
        <w:rPr>
          <w:rFonts w:hint="eastAsia"/>
          <w:color w:val="000000" w:themeColor="text1"/>
          <w:kern w:val="24"/>
          <w:szCs w:val="21"/>
          <w14:textFill>
            <w14:solidFill>
              <w14:schemeClr w14:val="tx1"/>
            </w14:solidFill>
          </w14:textFill>
        </w:rPr>
        <w:t>)</w:t>
      </w:r>
      <w:r>
        <w:rPr>
          <w:color w:val="000000" w:themeColor="text1"/>
          <w14:textFill>
            <w14:solidFill>
              <w14:schemeClr w14:val="tx1"/>
            </w14:solidFill>
          </w14:textFill>
        </w:rPr>
        <w:t>甘蓝型油菜是我国种植面积最大的油料作物。生长素浓度梯度的时空变化对调控其生长发育至关重要。研究人员通过转基因技术构建生长素含量报告系统，将生长素响应序列DR5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接受生长素调控的一段序列，调控下游基因表达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与报告基因GUS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β-葡萄糖醛酸酶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结合，利用GUS催化β-葡萄糖醛酸反应生成蓝色产物的特性，通过染色结果评估生长素分布。具体步骤如下：</w:t>
      </w:r>
    </w:p>
    <w:p w14:paraId="53B7253F">
      <w:pPr>
        <w:spacing w:line="288"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转化甘蓝油菜细胞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5277"/>
      </w:tblGrid>
      <w:tr w14:paraId="02EE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2116" w:type="dxa"/>
          </w:tcPr>
          <w:p w14:paraId="4554FAEF">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实验目的</w:t>
            </w:r>
          </w:p>
        </w:tc>
        <w:tc>
          <w:tcPr>
            <w:tcW w:w="5277" w:type="dxa"/>
          </w:tcPr>
          <w:p w14:paraId="79BC6CCB">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简要操作步骤</w:t>
            </w:r>
          </w:p>
        </w:tc>
      </w:tr>
      <w:tr w14:paraId="5364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6" w:type="dxa"/>
            <w:vAlign w:val="center"/>
          </w:tcPr>
          <w:p w14:paraId="427CC837">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①获取GUS基因</w:t>
            </w:r>
          </w:p>
        </w:tc>
        <w:tc>
          <w:tcPr>
            <w:tcW w:w="5277" w:type="dxa"/>
          </w:tcPr>
          <w:p w14:paraId="19BAA108">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在数据库中查阅大肠杆菌GUS基因序列，培养大肠杆菌并提取</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，运用PCR技术扩增该序列</w:t>
            </w:r>
            <w:r>
              <w:rPr>
                <w:rFonts w:hint="eastAsia"/>
                <w:color w:val="000000" w:themeColor="text1"/>
                <w14:textFill>
                  <w14:solidFill>
                    <w14:schemeClr w14:val="tx1"/>
                  </w14:solidFill>
                </w14:textFill>
              </w:rPr>
              <w:t>。</w:t>
            </w:r>
          </w:p>
        </w:tc>
      </w:tr>
      <w:tr w14:paraId="6C18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6" w:type="dxa"/>
          </w:tcPr>
          <w:p w14:paraId="76B2A012">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②构建增强报告基因表达的重组质粒</w:t>
            </w:r>
          </w:p>
        </w:tc>
        <w:tc>
          <w:tcPr>
            <w:tcW w:w="5277" w:type="dxa"/>
          </w:tcPr>
          <w:p w14:paraId="11EFBF77">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依次选择表2中的</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szCs w:val="22"/>
                <w14:textFill>
                  <w14:solidFill>
                    <w14:schemeClr w14:val="tx1"/>
                  </w14:solidFill>
                </w14:textFill>
              </w:rPr>
              <w:t>-</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元件置于图1质粒中的a～d。</w:t>
            </w:r>
          </w:p>
        </w:tc>
      </w:tr>
      <w:tr w14:paraId="69B9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2116" w:type="dxa"/>
          </w:tcPr>
          <w:p w14:paraId="4F329FF1">
            <w:pPr>
              <w:spacing w:line="288" w:lineRule="auto"/>
              <w:ind w:firstLine="420" w:firstLineChars="200"/>
              <w:rPr>
                <w:color w:val="000000" w:themeColor="text1"/>
                <w14:textFill>
                  <w14:solidFill>
                    <w14:schemeClr w14:val="tx1"/>
                  </w14:solidFill>
                </w14:textFill>
              </w:rPr>
            </w:pPr>
          </w:p>
          <w:p w14:paraId="02574926">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③</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p>
        </w:tc>
        <w:tc>
          <w:tcPr>
            <w:tcW w:w="5277" w:type="dxa"/>
          </w:tcPr>
          <w:p w14:paraId="189D3378">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将农杆菌从-80℃冰箱中取出置于</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缓慢融化，诱导制成感受态细胞后，加入质粒转化，再将菌液涂布于添加</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的平板上培养。</w:t>
            </w:r>
          </w:p>
        </w:tc>
      </w:tr>
      <w:tr w14:paraId="1686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6" w:type="dxa"/>
            <w:vAlign w:val="center"/>
          </w:tcPr>
          <w:p w14:paraId="467DEDF4">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④转化甘蓝油菜细胞</w:t>
            </w:r>
          </w:p>
        </w:tc>
        <w:tc>
          <w:tcPr>
            <w:tcW w:w="5277" w:type="dxa"/>
          </w:tcPr>
          <w:p w14:paraId="7383BCA0">
            <w:pPr>
              <w:spacing w:line="288" w:lineRule="auto"/>
              <w:rPr>
                <w:color w:val="000000" w:themeColor="text1"/>
                <w14:textFill>
                  <w14:solidFill>
                    <w14:schemeClr w14:val="tx1"/>
                  </w14:solidFill>
                </w14:textFill>
              </w:rPr>
            </w:pPr>
            <w:r>
              <w:rPr>
                <w:color w:val="000000" w:themeColor="text1"/>
                <w14:textFill>
                  <w14:solidFill>
                    <w14:schemeClr w14:val="tx1"/>
                  </w14:solidFill>
                </w14:textFill>
              </w:rPr>
              <w:t>将黑暗处理的甘蓝油菜下胚轴浸入筛选后的农杆菌菌液中一段时间。</w:t>
            </w:r>
          </w:p>
        </w:tc>
      </w:tr>
    </w:tbl>
    <w:p w14:paraId="4DDABCA9">
      <w:pPr>
        <w:rPr>
          <w:color w:val="000000" w:themeColor="text1"/>
          <w14:textFill>
            <w14:solidFill>
              <w14:schemeClr w14:val="tx1"/>
            </w14:solidFill>
          </w14:textFill>
        </w:rPr>
      </w:pPr>
    </w:p>
    <w:p w14:paraId="66A4CDBA">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45720" distB="45720" distL="114300" distR="114300" simplePos="0" relativeHeight="251660288" behindDoc="0" locked="0" layoutInCell="1" allowOverlap="1">
                <wp:simplePos x="0" y="0"/>
                <wp:positionH relativeFrom="margin">
                  <wp:posOffset>2910840</wp:posOffset>
                </wp:positionH>
                <wp:positionV relativeFrom="paragraph">
                  <wp:posOffset>28575</wp:posOffset>
                </wp:positionV>
                <wp:extent cx="2320290" cy="1326515"/>
                <wp:effectExtent l="0" t="0" r="3810" b="698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20290" cy="1326515"/>
                        </a:xfrm>
                        <a:prstGeom prst="rect">
                          <a:avLst/>
                        </a:prstGeom>
                        <a:solidFill>
                          <a:srgbClr val="FFFFFF"/>
                        </a:solidFill>
                        <a:ln w="9525">
                          <a:noFill/>
                          <a:miter lim="800000"/>
                        </a:ln>
                      </wps:spPr>
                      <wps:txbx>
                        <w:txbxContent>
                          <w:tbl>
                            <w:tblPr>
                              <w:tblStyle w:val="6"/>
                              <w:tblW w:w="3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2967"/>
                            </w:tblGrid>
                            <w:tr w14:paraId="27FA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5AC9EE87">
                                  <w:r>
                                    <w:rPr>
                                      <w:rFonts w:hint="eastAsia"/>
                                    </w:rPr>
                                    <w:t xml:space="preserve">A </w:t>
                                  </w:r>
                                </w:p>
                              </w:tc>
                              <w:tc>
                                <w:tcPr>
                                  <w:tcW w:w="2967" w:type="dxa"/>
                                </w:tcPr>
                                <w:p w14:paraId="4D6439FF">
                                  <w:pPr>
                                    <w:jc w:val="center"/>
                                  </w:pPr>
                                  <w:r>
                                    <w:rPr>
                                      <w:rFonts w:hint="eastAsia"/>
                                    </w:rPr>
                                    <w:t>GUS基因</w:t>
                                  </w:r>
                                </w:p>
                              </w:tc>
                            </w:tr>
                            <w:tr w14:paraId="544D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606C512E">
                                  <w:r>
                                    <w:rPr>
                                      <w:rFonts w:hint="eastAsia"/>
                                    </w:rPr>
                                    <w:t>B</w:t>
                                  </w:r>
                                </w:p>
                              </w:tc>
                              <w:tc>
                                <w:tcPr>
                                  <w:tcW w:w="2967" w:type="dxa"/>
                                </w:tcPr>
                                <w:p w14:paraId="141FA07A">
                                  <w:pPr>
                                    <w:jc w:val="center"/>
                                  </w:pPr>
                                  <w:r>
                                    <w:rPr>
                                      <w:rFonts w:hint="eastAsia"/>
                                    </w:rPr>
                                    <w:t>翻译增强序列TMVΩ</w:t>
                                  </w:r>
                                </w:p>
                              </w:tc>
                            </w:tr>
                            <w:tr w14:paraId="16DF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11124060">
                                  <w:r>
                                    <w:rPr>
                                      <w:rFonts w:hint="eastAsia"/>
                                    </w:rPr>
                                    <w:t>C</w:t>
                                  </w:r>
                                </w:p>
                              </w:tc>
                              <w:tc>
                                <w:tcPr>
                                  <w:tcW w:w="2967" w:type="dxa"/>
                                </w:tcPr>
                                <w:p w14:paraId="038705BE">
                                  <w:pPr>
                                    <w:jc w:val="center"/>
                                  </w:pPr>
                                  <w:r>
                                    <w:rPr>
                                      <w:rFonts w:hint="eastAsia"/>
                                    </w:rPr>
                                    <w:t>RNA聚合酶基因</w:t>
                                  </w:r>
                                  <w:r>
                                    <w:rPr>
                                      <w:rFonts w:hint="eastAsia"/>
                                      <w:i/>
                                      <w:iCs/>
                                    </w:rPr>
                                    <w:t>RNApol</w:t>
                                  </w:r>
                                </w:p>
                              </w:tc>
                            </w:tr>
                            <w:tr w14:paraId="46AE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430B1976">
                                  <w:r>
                                    <w:rPr>
                                      <w:rFonts w:hint="eastAsia"/>
                                    </w:rPr>
                                    <w:t>D</w:t>
                                  </w:r>
                                </w:p>
                              </w:tc>
                              <w:tc>
                                <w:tcPr>
                                  <w:tcW w:w="2967" w:type="dxa"/>
                                </w:tcPr>
                                <w:p w14:paraId="59D82961">
                                  <w:pPr>
                                    <w:jc w:val="center"/>
                                  </w:pPr>
                                  <w:r>
                                    <w:rPr>
                                      <w:rFonts w:hint="eastAsia"/>
                                    </w:rPr>
                                    <w:t>生长素响应序列DR5</w:t>
                                  </w:r>
                                </w:p>
                              </w:tc>
                            </w:tr>
                            <w:tr w14:paraId="3BA4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303F46CD">
                                  <w:r>
                                    <w:rPr>
                                      <w:rFonts w:hint="eastAsia"/>
                                    </w:rPr>
                                    <w:t>E</w:t>
                                  </w:r>
                                </w:p>
                              </w:tc>
                              <w:tc>
                                <w:tcPr>
                                  <w:tcW w:w="2967" w:type="dxa"/>
                                </w:tcPr>
                                <w:p w14:paraId="71092434">
                                  <w:pPr>
                                    <w:jc w:val="center"/>
                                  </w:pPr>
                                  <w:r>
                                    <w:rPr>
                                      <w:rFonts w:hint="eastAsia"/>
                                    </w:rPr>
                                    <w:t>启动子(方向和图1的一致)</w:t>
                                  </w:r>
                                </w:p>
                              </w:tc>
                            </w:tr>
                          </w:tbl>
                          <w:p w14:paraId="11D2F05E">
                            <w:pPr>
                              <w:jc w:val="center"/>
                              <w:rPr>
                                <w:rFonts w:hint="eastAsia" w:ascii="宋体" w:hAnsi="宋体" w:cs="宋体"/>
                              </w:rPr>
                            </w:pPr>
                            <w:r>
                              <w:rPr>
                                <w:rFonts w:hint="eastAsia" w:ascii="宋体" w:hAnsi="宋体" w:cs="宋体"/>
                                <w:szCs w:val="21"/>
                              </w:rPr>
                              <w:t>表2</w:t>
                            </w:r>
                          </w:p>
                        </w:txbxContent>
                      </wps:txbx>
                      <wps:bodyPr rot="0" vert="horz" wrap="square" lIns="91440" tIns="45720" rIns="91440" bIns="45720" anchor="t" anchorCtr="0"/>
                    </wps:wsp>
                  </a:graphicData>
                </a:graphic>
              </wp:anchor>
            </w:drawing>
          </mc:Choice>
          <mc:Fallback>
            <w:pict>
              <v:shape id="文本框 2" o:spid="_x0000_s1026" o:spt="202" type="#_x0000_t202" style="position:absolute;left:0pt;margin-left:229.2pt;margin-top:2.25pt;height:104.45pt;width:182.7pt;mso-position-horizontal-relative:margin;z-index:251660288;mso-width-relative:page;mso-height-relative:page;" fillcolor="#FFFFFF" filled="t" stroked="f" coordsize="21600,21600" o:gfxdata="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7KYEU1wAAAAkBAAAPAAAAAAAAAAEAIAAAACIAAABkcnMvZG93bnJldi54bWxQSwEC&#10;FAAUAAAACACHTuJAMEeW9C4CAAA7BAAADgAAAAAAAAABACAAAAAmAQAAZHJzL2Uyb0RvYy54bWxQ&#10;SwUGAAAAAAYABgBZAQAAxgUAAAAA&#10;">
                <v:fill on="t" focussize="0,0"/>
                <v:stroke on="f" miterlimit="8" joinstyle="miter"/>
                <v:imagedata o:title=""/>
                <o:lock v:ext="edit" aspectratio="f"/>
                <v:textbox>
                  <w:txbxContent>
                    <w:tbl>
                      <w:tblPr>
                        <w:tblStyle w:val="6"/>
                        <w:tblW w:w="3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2967"/>
                      </w:tblGrid>
                      <w:tr w14:paraId="27FA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5AC9EE87">
                            <w:r>
                              <w:rPr>
                                <w:rFonts w:hint="eastAsia"/>
                              </w:rPr>
                              <w:t xml:space="preserve">A </w:t>
                            </w:r>
                          </w:p>
                        </w:tc>
                        <w:tc>
                          <w:tcPr>
                            <w:tcW w:w="2967" w:type="dxa"/>
                          </w:tcPr>
                          <w:p w14:paraId="4D6439FF">
                            <w:pPr>
                              <w:jc w:val="center"/>
                            </w:pPr>
                            <w:r>
                              <w:rPr>
                                <w:rFonts w:hint="eastAsia"/>
                              </w:rPr>
                              <w:t>GUS基因</w:t>
                            </w:r>
                          </w:p>
                        </w:tc>
                      </w:tr>
                      <w:tr w14:paraId="544D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606C512E">
                            <w:r>
                              <w:rPr>
                                <w:rFonts w:hint="eastAsia"/>
                              </w:rPr>
                              <w:t>B</w:t>
                            </w:r>
                          </w:p>
                        </w:tc>
                        <w:tc>
                          <w:tcPr>
                            <w:tcW w:w="2967" w:type="dxa"/>
                          </w:tcPr>
                          <w:p w14:paraId="141FA07A">
                            <w:pPr>
                              <w:jc w:val="center"/>
                            </w:pPr>
                            <w:r>
                              <w:rPr>
                                <w:rFonts w:hint="eastAsia"/>
                              </w:rPr>
                              <w:t>翻译增强序列TMVΩ</w:t>
                            </w:r>
                          </w:p>
                        </w:tc>
                      </w:tr>
                      <w:tr w14:paraId="16DF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11124060">
                            <w:r>
                              <w:rPr>
                                <w:rFonts w:hint="eastAsia"/>
                              </w:rPr>
                              <w:t>C</w:t>
                            </w:r>
                          </w:p>
                        </w:tc>
                        <w:tc>
                          <w:tcPr>
                            <w:tcW w:w="2967" w:type="dxa"/>
                          </w:tcPr>
                          <w:p w14:paraId="038705BE">
                            <w:pPr>
                              <w:jc w:val="center"/>
                            </w:pPr>
                            <w:r>
                              <w:rPr>
                                <w:rFonts w:hint="eastAsia"/>
                              </w:rPr>
                              <w:t>RNA聚合酶基因</w:t>
                            </w:r>
                            <w:r>
                              <w:rPr>
                                <w:rFonts w:hint="eastAsia"/>
                                <w:i/>
                                <w:iCs/>
                              </w:rPr>
                              <w:t>RNApol</w:t>
                            </w:r>
                          </w:p>
                        </w:tc>
                      </w:tr>
                      <w:tr w14:paraId="46AE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430B1976">
                            <w:r>
                              <w:rPr>
                                <w:rFonts w:hint="eastAsia"/>
                              </w:rPr>
                              <w:t>D</w:t>
                            </w:r>
                          </w:p>
                        </w:tc>
                        <w:tc>
                          <w:tcPr>
                            <w:tcW w:w="2967" w:type="dxa"/>
                          </w:tcPr>
                          <w:p w14:paraId="59D82961">
                            <w:pPr>
                              <w:jc w:val="center"/>
                            </w:pPr>
                            <w:r>
                              <w:rPr>
                                <w:rFonts w:hint="eastAsia"/>
                              </w:rPr>
                              <w:t>生长素响应序列DR5</w:t>
                            </w:r>
                          </w:p>
                        </w:tc>
                      </w:tr>
                      <w:tr w14:paraId="3BA4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14:paraId="303F46CD">
                            <w:r>
                              <w:rPr>
                                <w:rFonts w:hint="eastAsia"/>
                              </w:rPr>
                              <w:t>E</w:t>
                            </w:r>
                          </w:p>
                        </w:tc>
                        <w:tc>
                          <w:tcPr>
                            <w:tcW w:w="2967" w:type="dxa"/>
                          </w:tcPr>
                          <w:p w14:paraId="71092434">
                            <w:pPr>
                              <w:jc w:val="center"/>
                            </w:pPr>
                            <w:r>
                              <w:rPr>
                                <w:rFonts w:hint="eastAsia"/>
                              </w:rPr>
                              <w:t>启动子(方向和图1的一致)</w:t>
                            </w:r>
                          </w:p>
                        </w:tc>
                      </w:tr>
                    </w:tbl>
                    <w:p w14:paraId="11D2F05E">
                      <w:pPr>
                        <w:jc w:val="center"/>
                        <w:rPr>
                          <w:rFonts w:hint="eastAsia" w:ascii="宋体" w:hAnsi="宋体" w:cs="宋体"/>
                        </w:rPr>
                      </w:pPr>
                      <w:r>
                        <w:rPr>
                          <w:rFonts w:hint="eastAsia" w:ascii="宋体" w:hAnsi="宋体" w:cs="宋体"/>
                          <w:szCs w:val="21"/>
                        </w:rPr>
                        <w:t>表2</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27305</wp:posOffset>
            </wp:positionH>
            <wp:positionV relativeFrom="paragraph">
              <wp:posOffset>120015</wp:posOffset>
            </wp:positionV>
            <wp:extent cx="2764155" cy="10363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764155" cy="1036320"/>
                    </a:xfrm>
                    <a:prstGeom prst="rect">
                      <a:avLst/>
                    </a:prstGeom>
                  </pic:spPr>
                </pic:pic>
              </a:graphicData>
            </a:graphic>
          </wp:anchor>
        </w:drawing>
      </w:r>
    </w:p>
    <w:p w14:paraId="133BA7CB">
      <w:pPr>
        <w:rPr>
          <w:color w:val="000000" w:themeColor="text1"/>
          <w14:textFill>
            <w14:solidFill>
              <w14:schemeClr w14:val="tx1"/>
            </w14:solidFill>
          </w14:textFill>
        </w:rPr>
      </w:pPr>
    </w:p>
    <w:p w14:paraId="6F9AF353">
      <w:pPr>
        <w:rPr>
          <w:color w:val="000000" w:themeColor="text1"/>
          <w14:textFill>
            <w14:solidFill>
              <w14:schemeClr w14:val="tx1"/>
            </w14:solidFill>
          </w14:textFill>
        </w:rPr>
      </w:pPr>
    </w:p>
    <w:p w14:paraId="7A334764">
      <w:pPr>
        <w:rPr>
          <w:color w:val="000000" w:themeColor="text1"/>
          <w14:textFill>
            <w14:solidFill>
              <w14:schemeClr w14:val="tx1"/>
            </w14:solidFill>
          </w14:textFill>
        </w:rPr>
      </w:pPr>
    </w:p>
    <w:p w14:paraId="5C52F3BB">
      <w:pPr>
        <w:rPr>
          <w:color w:val="000000" w:themeColor="text1"/>
          <w14:textFill>
            <w14:solidFill>
              <w14:schemeClr w14:val="tx1"/>
            </w14:solidFill>
          </w14:textFill>
        </w:rPr>
      </w:pPr>
    </w:p>
    <w:p w14:paraId="0F53BC05">
      <w:pPr>
        <w:rPr>
          <w:color w:val="000000" w:themeColor="text1"/>
          <w14:textFill>
            <w14:solidFill>
              <w14:schemeClr w14:val="tx1"/>
            </w14:solidFill>
          </w14:textFill>
        </w:rPr>
      </w:pPr>
    </w:p>
    <w:p w14:paraId="17A60621">
      <w:pPr>
        <w:rPr>
          <w:color w:val="000000" w:themeColor="text1"/>
          <w14:textFill>
            <w14:solidFill>
              <w14:schemeClr w14:val="tx1"/>
            </w14:solidFill>
          </w14:textFill>
        </w:rPr>
      </w:pPr>
    </w:p>
    <w:p w14:paraId="46A4C3FA">
      <w:pPr>
        <w:rPr>
          <w:rFonts w:eastAsia="楷体"/>
          <w:szCs w:val="21"/>
        </w:rPr>
      </w:pPr>
      <w:r>
        <w:rPr>
          <w:color w:val="000000" w:themeColor="text1"/>
          <w14:textFill>
            <w14:solidFill>
              <w14:schemeClr w14:val="tx1"/>
            </w14:solidFill>
          </w14:textFill>
        </w:rPr>
        <w:t xml:space="preserve"> </w:t>
      </w:r>
      <w:r>
        <w:rPr>
          <w:rFonts w:eastAsia="楷体"/>
          <w:color w:val="000000" w:themeColor="text1"/>
          <w:kern w:val="24"/>
          <w:szCs w:val="21"/>
          <w14:textFill>
            <w14:solidFill>
              <w14:schemeClr w14:val="tx1"/>
            </w14:solidFill>
          </w14:textFill>
        </w:rPr>
        <w:t>注：Kan</w:t>
      </w:r>
      <w:r>
        <w:rPr>
          <w:rFonts w:eastAsia="楷体"/>
          <w:color w:val="000000" w:themeColor="text1"/>
          <w:kern w:val="24"/>
          <w:position w:val="1"/>
          <w:szCs w:val="21"/>
          <w:vertAlign w:val="superscript"/>
          <w14:textFill>
            <w14:solidFill>
              <w14:schemeClr w14:val="tx1"/>
            </w14:solidFill>
          </w14:textFill>
        </w:rPr>
        <w:t>R</w:t>
      </w:r>
      <w:r>
        <w:rPr>
          <w:rFonts w:eastAsia="楷体"/>
          <w:color w:val="000000" w:themeColor="text1"/>
          <w:kern w:val="24"/>
          <w:szCs w:val="21"/>
          <w14:textFill>
            <w14:solidFill>
              <w14:schemeClr w14:val="tx1"/>
            </w14:solidFill>
          </w14:textFill>
        </w:rPr>
        <w:t xml:space="preserve">：卡拉霉素抗性基因 </w:t>
      </w:r>
      <w:r>
        <w:rPr>
          <w:rFonts w:hint="eastAsia" w:eastAsia="楷体"/>
          <w:color w:val="000000" w:themeColor="text1"/>
          <w:kern w:val="24"/>
          <w:szCs w:val="21"/>
          <w14:textFill>
            <w14:solidFill>
              <w14:schemeClr w14:val="tx1"/>
            </w14:solidFill>
          </w14:textFill>
        </w:rPr>
        <w:t xml:space="preserve">     </w:t>
      </w:r>
      <w:r>
        <w:rPr>
          <w:rFonts w:eastAsia="楷体"/>
          <w:color w:val="000000" w:themeColor="text1"/>
          <w:kern w:val="24"/>
          <w:szCs w:val="21"/>
          <w14:textFill>
            <w14:solidFill>
              <w14:schemeClr w14:val="tx1"/>
            </w14:solidFill>
          </w14:textFill>
        </w:rPr>
        <w:t xml:space="preserve">DR5： 生长素响ka应序列        </w:t>
      </w:r>
    </w:p>
    <w:p w14:paraId="39A23708">
      <w:pPr>
        <w:pStyle w:val="4"/>
        <w:spacing w:before="0" w:beforeAutospacing="0" w:after="0" w:afterAutospacing="0"/>
        <w:rPr>
          <w:rFonts w:eastAsia="楷体" w:cs="Times New Roman"/>
          <w:sz w:val="21"/>
          <w:szCs w:val="21"/>
        </w:rPr>
      </w:pPr>
      <w:r>
        <w:rPr>
          <w:rFonts w:eastAsia="楷体" w:cs="Times New Roman"/>
          <w:color w:val="000000" w:themeColor="text1"/>
          <w:kern w:val="24"/>
          <w:sz w:val="21"/>
          <w:szCs w:val="21"/>
          <w14:textFill>
            <w14:solidFill>
              <w14:schemeClr w14:val="tx1"/>
            </w14:solidFill>
          </w14:textFill>
        </w:rPr>
        <w:t xml:space="preserve">  </w:t>
      </w:r>
      <w:r>
        <w:rPr>
          <w:rFonts w:hint="eastAsia" w:eastAsia="楷体" w:cs="Times New Roman"/>
          <w:color w:val="000000" w:themeColor="text1"/>
          <w:kern w:val="24"/>
          <w:sz w:val="21"/>
          <w:szCs w:val="21"/>
          <w14:textFill>
            <w14:solidFill>
              <w14:schemeClr w14:val="tx1"/>
            </w14:solidFill>
          </w14:textFill>
        </w:rPr>
        <w:t xml:space="preserve">   </w:t>
      </w:r>
      <w:r>
        <w:rPr>
          <w:rFonts w:eastAsia="楷体" w:cs="Times New Roman"/>
          <w:color w:val="000000" w:themeColor="text1"/>
          <w:kern w:val="24"/>
          <w:sz w:val="21"/>
          <w:szCs w:val="21"/>
          <w14:textFill>
            <w14:solidFill>
              <w14:schemeClr w14:val="tx1"/>
            </w14:solidFill>
          </w14:textFill>
        </w:rPr>
        <w:t>Gen</w:t>
      </w:r>
      <w:r>
        <w:rPr>
          <w:rFonts w:eastAsia="楷体" w:cs="Times New Roman"/>
          <w:color w:val="000000" w:themeColor="text1"/>
          <w:kern w:val="24"/>
          <w:position w:val="1"/>
          <w:sz w:val="21"/>
          <w:szCs w:val="21"/>
          <w:vertAlign w:val="superscript"/>
          <w14:textFill>
            <w14:solidFill>
              <w14:schemeClr w14:val="tx1"/>
            </w14:solidFill>
          </w14:textFill>
        </w:rPr>
        <w:t>R</w:t>
      </w:r>
      <w:r>
        <w:rPr>
          <w:rFonts w:eastAsia="楷体" w:cs="Times New Roman"/>
          <w:color w:val="000000" w:themeColor="text1"/>
          <w:kern w:val="24"/>
          <w:sz w:val="21"/>
          <w:szCs w:val="21"/>
          <w14:textFill>
            <w14:solidFill>
              <w14:schemeClr w14:val="tx1"/>
            </w14:solidFill>
          </w14:textFill>
        </w:rPr>
        <w:t xml:space="preserve">：庆大霉素抗性  </w:t>
      </w:r>
      <w:r>
        <w:rPr>
          <w:rFonts w:hint="eastAsia" w:eastAsia="楷体" w:cs="Times New Roman"/>
          <w:color w:val="000000" w:themeColor="text1"/>
          <w:kern w:val="24"/>
          <w:sz w:val="21"/>
          <w:szCs w:val="21"/>
          <w14:textFill>
            <w14:solidFill>
              <w14:schemeClr w14:val="tx1"/>
            </w14:solidFill>
          </w14:textFill>
        </w:rPr>
        <w:t xml:space="preserve">      </w:t>
      </w:r>
      <w:r>
        <w:rPr>
          <w:rFonts w:eastAsia="楷体" w:cs="Times New Roman"/>
          <w:color w:val="000000" w:themeColor="text1"/>
          <w:kern w:val="24"/>
          <w:sz w:val="21"/>
          <w:szCs w:val="21"/>
          <w14:textFill>
            <w14:solidFill>
              <w14:schemeClr w14:val="tx1"/>
            </w14:solidFill>
          </w14:textFill>
        </w:rPr>
        <w:t xml:space="preserve">  TMVΩ：翻译增强序列，促进核糖体与RNA结合</w:t>
      </w:r>
    </w:p>
    <w:p w14:paraId="4B4D49EB">
      <w:pPr>
        <w:spacing w:line="288" w:lineRule="auto"/>
        <w:ind w:firstLine="420" w:firstLineChars="200"/>
        <w:rPr>
          <w:color w:val="000000" w:themeColor="text1"/>
          <w14:textFill>
            <w14:solidFill>
              <w14:schemeClr w14:val="tx1"/>
            </w14:solidFill>
          </w14:textFill>
        </w:rPr>
      </w:pPr>
    </w:p>
    <w:p w14:paraId="5685D184">
      <w:pPr>
        <w:spacing w:line="288" w:lineRule="auto"/>
        <w:ind w:firstLine="420" w:firstLineChars="200"/>
        <w:rPr>
          <w:color w:val="000000" w:themeColor="text1"/>
          <w14:textFill>
            <w14:solidFill>
              <w14:schemeClr w14:val="tx1"/>
            </w14:solidFill>
          </w14:textFill>
        </w:rPr>
      </w:pPr>
    </w:p>
    <w:p w14:paraId="357EC137">
      <w:pPr>
        <w:spacing w:line="288"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鉴定转基因甘蓝油菜细胞</w:t>
      </w:r>
    </w:p>
    <w:p w14:paraId="501DE1A4">
      <w:pPr>
        <w:spacing w:line="288"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已知相关元件长度以及两端序列信息如下表：</w:t>
      </w:r>
    </w:p>
    <w:tbl>
      <w:tblPr>
        <w:tblStyle w:val="6"/>
        <w:tblW w:w="8007" w:type="dxa"/>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6738"/>
      </w:tblGrid>
      <w:tr w14:paraId="1C11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69" w:type="dxa"/>
            <w:vAlign w:val="center"/>
          </w:tcPr>
          <w:p w14:paraId="748756F0">
            <w:pPr>
              <w:spacing w:line="288" w:lineRule="auto"/>
              <w:ind w:firstLine="210" w:firstLineChars="100"/>
              <w:jc w:val="center"/>
              <w:rPr>
                <w:color w:val="000000" w:themeColor="text1"/>
                <w14:textFill>
                  <w14:solidFill>
                    <w14:schemeClr w14:val="tx1"/>
                  </w14:solidFill>
                </w14:textFill>
              </w:rPr>
            </w:pPr>
            <w:r>
              <w:rPr>
                <w:color w:val="000000" w:themeColor="text1"/>
                <w14:textFill>
                  <w14:solidFill>
                    <w14:schemeClr w14:val="tx1"/>
                  </w14:solidFill>
                </w14:textFill>
              </w:rPr>
              <w:t>元件</w:t>
            </w:r>
          </w:p>
        </w:tc>
        <w:tc>
          <w:tcPr>
            <w:tcW w:w="6738" w:type="dxa"/>
            <w:vAlign w:val="center"/>
          </w:tcPr>
          <w:p w14:paraId="4B565A43">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两端序列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方向5’</w:t>
            </w:r>
            <w:r>
              <w:rPr>
                <w:rFonts w:eastAsia="PingFang SC"/>
                <w:color w:val="000000" w:themeColor="text1"/>
                <w14:textFill>
                  <w14:solidFill>
                    <w14:schemeClr w14:val="tx1"/>
                  </w14:solidFill>
                </w14:textFill>
              </w:rPr>
              <w:t>→</w:t>
            </w:r>
            <w:r>
              <w:rPr>
                <w:color w:val="000000" w:themeColor="text1"/>
                <w14:textFill>
                  <w14:solidFill>
                    <w14:schemeClr w14:val="tx1"/>
                  </w14:solidFill>
                </w14:textFill>
              </w:rPr>
              <w:t xml:space="preserve"> 3’</w:t>
            </w:r>
            <w:r>
              <w:rPr>
                <w:rFonts w:hint="eastAsia"/>
                <w:color w:val="000000" w:themeColor="text1"/>
                <w14:textFill>
                  <w14:solidFill>
                    <w14:schemeClr w14:val="tx1"/>
                  </w14:solidFill>
                </w14:textFill>
              </w:rPr>
              <w:t>)</w:t>
            </w:r>
          </w:p>
        </w:tc>
      </w:tr>
      <w:tr w14:paraId="6A71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69" w:type="dxa"/>
            <w:vAlign w:val="center"/>
          </w:tcPr>
          <w:p w14:paraId="407AD25C">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GUS基因</w:t>
            </w:r>
          </w:p>
        </w:tc>
        <w:tc>
          <w:tcPr>
            <w:tcW w:w="6738" w:type="dxa"/>
            <w:vAlign w:val="center"/>
          </w:tcPr>
          <w:p w14:paraId="32AC5AED">
            <w:pPr>
              <w:spacing w:line="288" w:lineRule="auto"/>
              <w:jc w:val="center"/>
              <w:rPr>
                <w:color w:val="000000" w:themeColor="text1"/>
                <w:spacing w:val="-6"/>
                <w:w w:val="95"/>
                <w14:textFill>
                  <w14:solidFill>
                    <w14:schemeClr w14:val="tx1"/>
                  </w14:solidFill>
                </w14:textFill>
              </w:rPr>
            </w:pPr>
            <w:bookmarkStart w:id="1" w:name="_Hlk195989601"/>
            <w:r>
              <w:rPr>
                <w:color w:val="000000" w:themeColor="text1"/>
                <w:spacing w:val="-6"/>
                <w:w w:val="95"/>
                <w14:textFill>
                  <w14:solidFill>
                    <w14:schemeClr w14:val="tx1"/>
                  </w14:solidFill>
                </w14:textFill>
              </w:rPr>
              <w:t>AGGATGGCCATGCATGCATGG</w:t>
            </w:r>
            <w:bookmarkEnd w:id="1"/>
            <w:r>
              <w:rPr>
                <w:color w:val="000000" w:themeColor="text1"/>
                <w:spacing w:val="-6"/>
                <w:w w:val="95"/>
                <w14:textFill>
                  <w14:solidFill>
                    <w14:schemeClr w14:val="tx1"/>
                  </w14:solidFill>
                </w14:textFill>
              </w:rPr>
              <w:t xml:space="preserve"> ------TGAACAACGAACTGAACTGGCAGA</w:t>
            </w:r>
          </w:p>
        </w:tc>
      </w:tr>
      <w:tr w14:paraId="2280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69" w:type="dxa"/>
            <w:vAlign w:val="center"/>
          </w:tcPr>
          <w:p w14:paraId="62C8E496">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DR5</w:t>
            </w:r>
          </w:p>
        </w:tc>
        <w:tc>
          <w:tcPr>
            <w:tcW w:w="6738" w:type="dxa"/>
            <w:vAlign w:val="center"/>
          </w:tcPr>
          <w:p w14:paraId="59B7C027">
            <w:pPr>
              <w:spacing w:line="288" w:lineRule="auto"/>
              <w:jc w:val="center"/>
              <w:rPr>
                <w:color w:val="000000" w:themeColor="text1"/>
                <w:spacing w:val="-6"/>
                <w:w w:val="95"/>
                <w14:textFill>
                  <w14:solidFill>
                    <w14:schemeClr w14:val="tx1"/>
                  </w14:solidFill>
                </w14:textFill>
              </w:rPr>
            </w:pPr>
            <w:bookmarkStart w:id="2" w:name="OLE_LINK4"/>
            <w:r>
              <w:rPr>
                <w:color w:val="000000" w:themeColor="text1"/>
                <w:spacing w:val="-6"/>
                <w:w w:val="95"/>
                <w14:textFill>
                  <w14:solidFill>
                    <w14:schemeClr w14:val="tx1"/>
                  </w14:solidFill>
                </w14:textFill>
              </w:rPr>
              <w:t>GGA</w:t>
            </w:r>
            <w:bookmarkEnd w:id="2"/>
            <w:r>
              <w:rPr>
                <w:color w:val="000000" w:themeColor="text1"/>
                <w:spacing w:val="-6"/>
                <w:w w:val="95"/>
                <w14:textFill>
                  <w14:solidFill>
                    <w14:schemeClr w14:val="tx1"/>
                  </w14:solidFill>
                </w14:textFill>
              </w:rPr>
              <w:t>TCCAAGCCT</w:t>
            </w:r>
            <w:bookmarkStart w:id="3" w:name="OLE_LINK3"/>
            <w:r>
              <w:rPr>
                <w:color w:val="000000" w:themeColor="text1"/>
                <w:spacing w:val="-6"/>
                <w:w w:val="95"/>
                <w14:textFill>
                  <w14:solidFill>
                    <w14:schemeClr w14:val="tx1"/>
                  </w14:solidFill>
                </w14:textFill>
              </w:rPr>
              <w:t>CCGACACCGAC</w:t>
            </w:r>
            <w:bookmarkEnd w:id="3"/>
            <w:r>
              <w:rPr>
                <w:color w:val="000000" w:themeColor="text1"/>
                <w:spacing w:val="-6"/>
                <w:w w:val="95"/>
                <w14:textFill>
                  <w14:solidFill>
                    <w14:schemeClr w14:val="tx1"/>
                  </w14:solidFill>
                </w14:textFill>
              </w:rPr>
              <w:t>------CCGACACCGACAAGACACCGACA</w:t>
            </w:r>
          </w:p>
        </w:tc>
      </w:tr>
      <w:tr w14:paraId="4525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69" w:type="dxa"/>
            <w:vAlign w:val="center"/>
          </w:tcPr>
          <w:p w14:paraId="2F492E54">
            <w:pPr>
              <w:spacing w:line="288" w:lineRule="auto"/>
              <w:jc w:val="center"/>
              <w:rPr>
                <w:color w:val="000000" w:themeColor="text1"/>
                <w14:textFill>
                  <w14:solidFill>
                    <w14:schemeClr w14:val="tx1"/>
                  </w14:solidFill>
                </w14:textFill>
              </w:rPr>
            </w:pPr>
            <w:r>
              <w:rPr>
                <w:color w:val="000000" w:themeColor="text1"/>
                <w14:textFill>
                  <w14:solidFill>
                    <w14:schemeClr w14:val="tx1"/>
                  </w14:solidFill>
                </w14:textFill>
              </w:rPr>
              <w:t>TMVΩ</w:t>
            </w:r>
          </w:p>
        </w:tc>
        <w:tc>
          <w:tcPr>
            <w:tcW w:w="6738" w:type="dxa"/>
            <w:vAlign w:val="center"/>
          </w:tcPr>
          <w:p w14:paraId="2507D667">
            <w:pPr>
              <w:spacing w:line="288" w:lineRule="auto"/>
              <w:jc w:val="center"/>
              <w:rPr>
                <w:color w:val="000000" w:themeColor="text1"/>
                <w:spacing w:val="-6"/>
                <w:w w:val="95"/>
                <w14:textFill>
                  <w14:solidFill>
                    <w14:schemeClr w14:val="tx1"/>
                  </w14:solidFill>
                </w14:textFill>
              </w:rPr>
            </w:pPr>
            <w:r>
              <w:rPr>
                <w:color w:val="000000" w:themeColor="text1"/>
                <w:spacing w:val="-6"/>
                <w:w w:val="95"/>
                <w14:textFill>
                  <w14:solidFill>
                    <w14:schemeClr w14:val="tx1"/>
                  </w14:solidFill>
                </w14:textFill>
              </w:rPr>
              <w:t>AGAAAGAAAGAAAGAAAGAAAG------TTACTTACTTACTTCTTACCTGCAG</w:t>
            </w:r>
          </w:p>
        </w:tc>
      </w:tr>
    </w:tbl>
    <w:p w14:paraId="037DBEDF">
      <w:pPr>
        <w:spacing w:line="288" w:lineRule="auto"/>
        <w:ind w:left="420" w:leftChars="200"/>
        <w:rPr>
          <w:color w:val="000000" w:themeColor="text1"/>
          <w14:textFill>
            <w14:solidFill>
              <w14:schemeClr w14:val="tx1"/>
            </w14:solidFill>
          </w14:textFill>
        </w:rPr>
      </w:pPr>
      <w:r>
        <w:rPr>
          <w:color w:val="000000" w:themeColor="text1"/>
          <w:spacing w:val="-6"/>
          <w14:textFill>
            <w14:solidFill>
              <w14:schemeClr w14:val="tx1"/>
            </w14:solidFill>
          </w14:textFill>
        </w:rPr>
        <w:t>根据上表，结合上述步骤，以图1启动子方向为正向，分别选取以下引物</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作为正向和反向引物，对转基因甘蓝油菜组培幼苗中的核DNA为模板进行PCR扩增，电泳并观察到出现理想长度片段后，再依次通过</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以准确确定是否成功将生长素响应报告基因表达载体导入了甘蓝油菜。</w:t>
      </w:r>
    </w:p>
    <w:p w14:paraId="0751FF28">
      <w:pPr>
        <w:spacing w:line="288"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A.5’-CTGCAGG</w:t>
      </w:r>
      <w:bookmarkStart w:id="4" w:name="OLE_LINK7"/>
      <w:r>
        <w:rPr>
          <w:color w:val="000000" w:themeColor="text1"/>
          <w14:textFill>
            <w14:solidFill>
              <w14:schemeClr w14:val="tx1"/>
            </w14:solidFill>
          </w14:textFill>
        </w:rPr>
        <w:t>TAAG</w:t>
      </w:r>
      <w:bookmarkEnd w:id="4"/>
      <w:r>
        <w:rPr>
          <w:color w:val="000000" w:themeColor="text1"/>
          <w14:textFill>
            <w14:solidFill>
              <w14:schemeClr w14:val="tx1"/>
            </w14:solidFill>
          </w14:textFill>
        </w:rPr>
        <w:t>AAGTAAGTAAGTAA-3’</w:t>
      </w:r>
    </w:p>
    <w:p w14:paraId="068C886F">
      <w:pPr>
        <w:pStyle w:val="4"/>
        <w:spacing w:before="0" w:beforeAutospacing="0" w:after="0" w:afterAutospacing="0" w:line="288" w:lineRule="auto"/>
        <w:ind w:firstLine="630" w:firstLineChars="300"/>
        <w:rPr>
          <w:rFonts w:cs="Times New Roman"/>
          <w:color w:val="000000" w:themeColor="text1"/>
          <w:kern w:val="2"/>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B.5’-TGTCGGTGTCTTGTCGGTGTCGG-3’</w:t>
      </w:r>
    </w:p>
    <w:p w14:paraId="718DC07D">
      <w:pPr>
        <w:pStyle w:val="4"/>
        <w:spacing w:before="0" w:beforeAutospacing="0" w:after="0" w:afterAutospacing="0" w:line="288" w:lineRule="auto"/>
        <w:ind w:firstLine="630" w:firstLineChars="300"/>
        <w:rPr>
          <w:rFonts w:cs="Times New Roman"/>
          <w:color w:val="000000" w:themeColor="text1"/>
          <w:kern w:val="2"/>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C.5’-TCTGCCAGTTCAGTTCGTTGTTCA -3’</w:t>
      </w:r>
    </w:p>
    <w:p w14:paraId="5F31343E">
      <w:pPr>
        <w:spacing w:line="288"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D.5’-GGATCCAAGCTTCCGACACCGAC-3’</w:t>
      </w:r>
    </w:p>
    <w:p w14:paraId="16F1D77E">
      <w:pPr>
        <w:spacing w:line="288"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E.5’-AGGATGGCCATGCATGCATGG-3’</w:t>
      </w:r>
    </w:p>
    <w:p w14:paraId="76D9E168">
      <w:pPr>
        <w:spacing w:line="288" w:lineRule="auto"/>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F.5’-AGAAAGAAAGAAAGAAAGAAAG-3’</w:t>
      </w:r>
    </w:p>
    <w:p w14:paraId="0499DDFD">
      <w:pPr>
        <w:spacing w:line="288"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转基因甘蓝油菜的染色鉴定</w:t>
      </w:r>
    </w:p>
    <w:p w14:paraId="42A50ADD">
      <w:pPr>
        <w:spacing w:line="288" w:lineRule="auto"/>
        <w:ind w:left="420" w:leftChars="200"/>
        <w:rPr>
          <w:color w:val="000000" w:themeColor="text1"/>
          <w14:textFill>
            <w14:solidFill>
              <w14:schemeClr w14:val="tx1"/>
            </w14:solidFill>
          </w14:textFill>
        </w:rPr>
      </w:pPr>
      <w:r>
        <w:rPr>
          <w:color w:val="000000" w:themeColor="text1"/>
          <w14:textFill>
            <w14:solidFill>
              <w14:schemeClr w14:val="tx1"/>
            </w14:solidFill>
          </w14:textFill>
        </w:rPr>
        <w:t>对转基因检测阳性的甘蓝油菜用NAA诱导后，取叶片放入90%丙酮进行</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14:textFill>
            <w14:solidFill>
              <w14:schemeClr w14:val="tx1"/>
            </w14:solidFill>
          </w14:textFill>
        </w:rPr>
        <w:t>处理，再用GUS染色液染色，然后用70%乙醇以</w:t>
      </w:r>
      <w:r>
        <w:rPr>
          <w:color w:val="000000" w:themeColor="text1"/>
          <w:szCs w:val="22"/>
          <w:u w:val="single"/>
          <w14:textFill>
            <w14:solidFill>
              <w14:schemeClr w14:val="tx1"/>
            </w14:solidFill>
          </w14:textFill>
        </w:rPr>
        <w:t xml:space="preserve">   </w:t>
      </w:r>
      <w:r>
        <w:rPr>
          <w:rFonts w:eastAsia="Times New Roman"/>
          <w:color w:val="000000" w:themeColor="text1"/>
          <w:szCs w:val="22"/>
          <w:u w:val="single"/>
          <w14:textFill>
            <w14:solidFill>
              <w14:schemeClr w14:val="tx1"/>
            </w14:solidFill>
          </w14:textFill>
        </w:rPr>
        <w:t>▲</w:t>
      </w:r>
      <w:r>
        <w:rPr>
          <w:color w:val="000000" w:themeColor="text1"/>
          <w:szCs w:val="22"/>
          <w:u w:val="single"/>
          <w14:textFill>
            <w14:solidFill>
              <w14:schemeClr w14:val="tx1"/>
            </w14:solidFill>
          </w14:textFill>
        </w:rPr>
        <w:t xml:space="preserve">   </w:t>
      </w:r>
      <w:r>
        <w:rPr>
          <w:color w:val="000000" w:themeColor="text1"/>
          <w:szCs w:val="22"/>
          <w14:textFill>
            <w14:solidFill>
              <w14:schemeClr w14:val="tx1"/>
            </w14:solidFill>
          </w14:textFill>
        </w:rPr>
        <w:t>，确定GUS基因能正常表达的转基因阳性植株，转移到温室培养</w:t>
      </w:r>
      <w:r>
        <w:rPr>
          <w:color w:val="000000" w:themeColor="text1"/>
          <w14:textFill>
            <w14:solidFill>
              <w14:schemeClr w14:val="tx1"/>
            </w14:solidFill>
          </w14:textFill>
        </w:rPr>
        <w:t>。</w:t>
      </w:r>
    </w:p>
    <w:bookmarkEnd w:id="0"/>
    <w:p w14:paraId="0A90F0B2">
      <w:pPr>
        <w:rPr>
          <w:color w:val="000000" w:themeColor="text1"/>
          <w14:textFill>
            <w14:solidFill>
              <w14:schemeClr w14:val="tx1"/>
            </w14:solidFill>
          </w14:textFill>
        </w:rPr>
      </w:pPr>
    </w:p>
    <w:p w14:paraId="1EF7BC95">
      <w:pPr>
        <w:rPr>
          <w:color w:val="000000" w:themeColor="text1"/>
          <w14:textFill>
            <w14:solidFill>
              <w14:schemeClr w14:val="tx1"/>
            </w14:solidFill>
          </w14:textFill>
        </w:rPr>
      </w:pPr>
    </w:p>
    <w:p w14:paraId="73F62BBD">
      <w:pPr>
        <w:rPr>
          <w:color w:val="000000" w:themeColor="text1"/>
          <w14:textFill>
            <w14:solidFill>
              <w14:schemeClr w14:val="tx1"/>
            </w14:solidFill>
          </w14:textFill>
        </w:rPr>
      </w:pPr>
    </w:p>
    <w:p w14:paraId="5D44BA5D">
      <w:pPr>
        <w:rPr>
          <w:color w:val="000000" w:themeColor="text1"/>
          <w14:textFill>
            <w14:solidFill>
              <w14:schemeClr w14:val="tx1"/>
            </w14:solidFill>
          </w14:textFill>
        </w:rPr>
      </w:pPr>
    </w:p>
    <w:p w14:paraId="41797B66">
      <w:pPr>
        <w:rPr>
          <w:color w:val="000000" w:themeColor="text1"/>
          <w14:textFill>
            <w14:solidFill>
              <w14:schemeClr w14:val="tx1"/>
            </w14:solidFill>
          </w14:textFill>
        </w:rPr>
      </w:pPr>
    </w:p>
    <w:p w14:paraId="6B2BD1D9">
      <w:pPr>
        <w:rPr>
          <w:color w:val="000000" w:themeColor="text1"/>
          <w14:textFill>
            <w14:solidFill>
              <w14:schemeClr w14:val="tx1"/>
            </w14:solidFill>
          </w14:textFill>
        </w:rPr>
      </w:pPr>
    </w:p>
    <w:p w14:paraId="576F1BFB">
      <w:pPr>
        <w:rPr>
          <w:color w:val="000000" w:themeColor="text1"/>
          <w14:textFill>
            <w14:solidFill>
              <w14:schemeClr w14:val="tx1"/>
            </w14:solidFill>
          </w14:textFill>
        </w:rPr>
      </w:pPr>
    </w:p>
    <w:p w14:paraId="50E8FC1E">
      <w:pPr>
        <w:rPr>
          <w:color w:val="000000" w:themeColor="text1"/>
          <w14:textFill>
            <w14:solidFill>
              <w14:schemeClr w14:val="tx1"/>
            </w14:solidFill>
          </w14:textFill>
        </w:rPr>
      </w:pPr>
    </w:p>
    <w:p w14:paraId="1D2C7EFD">
      <w:pPr>
        <w:rPr>
          <w:color w:val="000000" w:themeColor="text1"/>
          <w14:textFill>
            <w14:solidFill>
              <w14:schemeClr w14:val="tx1"/>
            </w14:solidFill>
          </w14:textFill>
        </w:rPr>
      </w:pPr>
    </w:p>
    <w:p w14:paraId="3E0BF1F7">
      <w:pPr>
        <w:rPr>
          <w:color w:val="000000" w:themeColor="text1"/>
          <w14:textFill>
            <w14:solidFill>
              <w14:schemeClr w14:val="tx1"/>
            </w14:solidFill>
          </w14:textFill>
        </w:rPr>
      </w:pPr>
    </w:p>
    <w:p w14:paraId="75BC38C2">
      <w:pPr>
        <w:rPr>
          <w:color w:val="000000" w:themeColor="text1"/>
          <w14:textFill>
            <w14:solidFill>
              <w14:schemeClr w14:val="tx1"/>
            </w14:solidFill>
          </w14:textFill>
        </w:rPr>
      </w:pPr>
    </w:p>
    <w:p w14:paraId="44E5FB0E">
      <w:pPr>
        <w:rPr>
          <w:color w:val="000000" w:themeColor="text1"/>
          <w14:textFill>
            <w14:solidFill>
              <w14:schemeClr w14:val="tx1"/>
            </w14:solidFill>
          </w14:textFill>
        </w:rPr>
      </w:pPr>
    </w:p>
    <w:p w14:paraId="7E14BB75">
      <w:pPr>
        <w:rPr>
          <w:color w:val="000000" w:themeColor="text1"/>
          <w14:textFill>
            <w14:solidFill>
              <w14:schemeClr w14:val="tx1"/>
            </w14:solidFill>
          </w14:textFill>
        </w:rPr>
      </w:pPr>
    </w:p>
    <w:p w14:paraId="5F628652">
      <w:pPr>
        <w:rPr>
          <w:color w:val="000000" w:themeColor="text1"/>
          <w14:textFill>
            <w14:solidFill>
              <w14:schemeClr w14:val="tx1"/>
            </w14:solidFill>
          </w14:textFill>
        </w:rPr>
      </w:pPr>
    </w:p>
    <w:p w14:paraId="040FFF99">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827780" cy="4927600"/>
            <wp:effectExtent l="0" t="0" r="1270" b="6350"/>
            <wp:docPr id="8041538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53805"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7780" cy="4927600"/>
                    </a:xfrm>
                    <a:prstGeom prst="rect">
                      <a:avLst/>
                    </a:prstGeom>
                    <a:noFill/>
                    <a:ln>
                      <a:noFill/>
                    </a:ln>
                  </pic:spPr>
                </pic:pic>
              </a:graphicData>
            </a:graphic>
          </wp:inline>
        </w:drawing>
      </w:r>
    </w:p>
    <w:p w14:paraId="646E7CEF">
      <w:pPr>
        <w:rPr>
          <w:color w:val="000000" w:themeColor="text1"/>
          <w14:textFill>
            <w14:solidFill>
              <w14:schemeClr w14:val="tx1"/>
            </w14:solidFill>
          </w14:textFill>
        </w:rPr>
      </w:pPr>
    </w:p>
    <w:p w14:paraId="5AC64CB9">
      <w:pPr>
        <w:rPr>
          <w:color w:val="000000" w:themeColor="text1"/>
          <w14:textFill>
            <w14:solidFill>
              <w14:schemeClr w14:val="tx1"/>
            </w14:solidFill>
          </w14:textFill>
        </w:rPr>
      </w:pPr>
    </w:p>
    <w:p w14:paraId="18ED39CC">
      <w:pPr>
        <w:rPr>
          <w:color w:val="000000" w:themeColor="text1"/>
          <w14:textFill>
            <w14:solidFill>
              <w14:schemeClr w14:val="tx1"/>
            </w14:solidFill>
          </w14:textFill>
        </w:rPr>
      </w:pPr>
    </w:p>
    <w:p w14:paraId="5B07CE89">
      <w:pPr>
        <w:rPr>
          <w:color w:val="000000" w:themeColor="text1"/>
          <w14:textFill>
            <w14:solidFill>
              <w14:schemeClr w14:val="tx1"/>
            </w14:solidFill>
          </w14:textFill>
        </w:rPr>
      </w:pPr>
    </w:p>
    <w:p w14:paraId="743F3F08">
      <w:pPr>
        <w:rPr>
          <w:color w:val="000000" w:themeColor="text1"/>
          <w14:textFill>
            <w14:solidFill>
              <w14:schemeClr w14:val="tx1"/>
            </w14:solidFill>
          </w14:textFill>
        </w:rPr>
      </w:pPr>
    </w:p>
    <w:p w14:paraId="584BCBD4">
      <w:pPr>
        <w:rPr>
          <w:color w:val="000000" w:themeColor="text1"/>
          <w14:textFill>
            <w14:solidFill>
              <w14:schemeClr w14:val="tx1"/>
            </w14:solidFill>
          </w14:textFill>
        </w:rPr>
      </w:pPr>
    </w:p>
    <w:p w14:paraId="384F9B83">
      <w:pPr>
        <w:rPr>
          <w:color w:val="000000" w:themeColor="text1"/>
          <w14:textFill>
            <w14:solidFill>
              <w14:schemeClr w14:val="tx1"/>
            </w14:solidFill>
          </w14:textFill>
        </w:rPr>
      </w:pPr>
    </w:p>
    <w:p w14:paraId="2DEB12EB">
      <w:pPr>
        <w:rPr>
          <w:color w:val="000000" w:themeColor="text1"/>
          <w14:textFill>
            <w14:solidFill>
              <w14:schemeClr w14:val="tx1"/>
            </w14:solidFill>
          </w14:textFill>
        </w:rPr>
      </w:pPr>
    </w:p>
    <w:p w14:paraId="4795A9B4">
      <w:pPr>
        <w:rPr>
          <w:color w:val="000000" w:themeColor="text1"/>
          <w14:textFill>
            <w14:solidFill>
              <w14:schemeClr w14:val="tx1"/>
            </w14:solidFill>
          </w14:textFill>
        </w:rPr>
      </w:pPr>
    </w:p>
    <w:p w14:paraId="782CA875">
      <w:pPr>
        <w:rPr>
          <w:color w:val="000000" w:themeColor="text1"/>
          <w14:textFill>
            <w14:solidFill>
              <w14:schemeClr w14:val="tx1"/>
            </w14:solidFill>
          </w14:textFill>
        </w:rPr>
      </w:pPr>
    </w:p>
    <w:p w14:paraId="7902EFB1">
      <w:pPr>
        <w:rPr>
          <w:color w:val="000000" w:themeColor="text1"/>
          <w14:textFill>
            <w14:solidFill>
              <w14:schemeClr w14:val="tx1"/>
            </w14:solidFill>
          </w14:textFill>
        </w:rPr>
      </w:pPr>
    </w:p>
    <w:p w14:paraId="1F02B8CC">
      <w:pPr>
        <w:rPr>
          <w:color w:val="000000" w:themeColor="text1"/>
          <w14:textFill>
            <w14:solidFill>
              <w14:schemeClr w14:val="tx1"/>
            </w14:solidFill>
          </w14:textFill>
        </w:rPr>
      </w:pPr>
      <w:bookmarkStart w:id="5" w:name="_GoBack"/>
      <w:bookmarkEnd w:id="5"/>
    </w:p>
    <w:sectPr>
      <w:pgSz w:w="10772" w:h="15307"/>
      <w:pgMar w:top="1474" w:right="1304" w:bottom="1304" w:left="130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PingFang SC">
    <w:altName w:val="宋体"/>
    <w:panose1 w:val="00000000000000000000"/>
    <w:charset w:val="86"/>
    <w:family w:val="auto"/>
    <w:pitch w:val="default"/>
    <w:sig w:usb0="00000000" w:usb1="00000000"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23D757"/>
    <w:multiLevelType w:val="singleLevel"/>
    <w:tmpl w:val="2B23D757"/>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CC9"/>
    <w:rsid w:val="001A2968"/>
    <w:rsid w:val="003804CE"/>
    <w:rsid w:val="003E0D6B"/>
    <w:rsid w:val="004151FC"/>
    <w:rsid w:val="00490DE4"/>
    <w:rsid w:val="007E4CA5"/>
    <w:rsid w:val="009D6446"/>
    <w:rsid w:val="00B63504"/>
    <w:rsid w:val="00C02FC6"/>
    <w:rsid w:val="00C32CC9"/>
    <w:rsid w:val="00F72399"/>
    <w:rsid w:val="01211AD4"/>
    <w:rsid w:val="01A050EF"/>
    <w:rsid w:val="01BB1483"/>
    <w:rsid w:val="03C255BA"/>
    <w:rsid w:val="03CC3F79"/>
    <w:rsid w:val="03E70DB3"/>
    <w:rsid w:val="042A6EF2"/>
    <w:rsid w:val="04506958"/>
    <w:rsid w:val="046B5540"/>
    <w:rsid w:val="04B52C5F"/>
    <w:rsid w:val="04C9495C"/>
    <w:rsid w:val="04EE7F1F"/>
    <w:rsid w:val="055045B2"/>
    <w:rsid w:val="0575419C"/>
    <w:rsid w:val="064D14C2"/>
    <w:rsid w:val="06936FD0"/>
    <w:rsid w:val="074D53D1"/>
    <w:rsid w:val="08487D71"/>
    <w:rsid w:val="086D0FF4"/>
    <w:rsid w:val="0891753F"/>
    <w:rsid w:val="08974B03"/>
    <w:rsid w:val="09322AD0"/>
    <w:rsid w:val="099948FD"/>
    <w:rsid w:val="0A4C7BC2"/>
    <w:rsid w:val="0A6C0264"/>
    <w:rsid w:val="0B4B1C27"/>
    <w:rsid w:val="0B5807E8"/>
    <w:rsid w:val="0B6D57EE"/>
    <w:rsid w:val="0C654F6B"/>
    <w:rsid w:val="0CC47EE3"/>
    <w:rsid w:val="0CF87B8D"/>
    <w:rsid w:val="0D2C3CDA"/>
    <w:rsid w:val="0D6945E7"/>
    <w:rsid w:val="0E611762"/>
    <w:rsid w:val="0FA77648"/>
    <w:rsid w:val="0FEB39D9"/>
    <w:rsid w:val="104135F9"/>
    <w:rsid w:val="107772DF"/>
    <w:rsid w:val="10815C4F"/>
    <w:rsid w:val="10CA7802"/>
    <w:rsid w:val="114C04A7"/>
    <w:rsid w:val="12745F08"/>
    <w:rsid w:val="127777A6"/>
    <w:rsid w:val="13BF29DF"/>
    <w:rsid w:val="13E64BE3"/>
    <w:rsid w:val="1424570B"/>
    <w:rsid w:val="1494463F"/>
    <w:rsid w:val="14BC3B96"/>
    <w:rsid w:val="14DA74D7"/>
    <w:rsid w:val="14DC1B42"/>
    <w:rsid w:val="14F72A26"/>
    <w:rsid w:val="152A6D51"/>
    <w:rsid w:val="15FA6724"/>
    <w:rsid w:val="164976AB"/>
    <w:rsid w:val="16F70EB5"/>
    <w:rsid w:val="173914CE"/>
    <w:rsid w:val="17571954"/>
    <w:rsid w:val="17C50FB3"/>
    <w:rsid w:val="187A7FF0"/>
    <w:rsid w:val="19151AC7"/>
    <w:rsid w:val="19A318A0"/>
    <w:rsid w:val="19E16F1F"/>
    <w:rsid w:val="1A693E78"/>
    <w:rsid w:val="1A9F789A"/>
    <w:rsid w:val="1AAE3F81"/>
    <w:rsid w:val="1B397CEE"/>
    <w:rsid w:val="1C1918CE"/>
    <w:rsid w:val="1D266050"/>
    <w:rsid w:val="1D807E56"/>
    <w:rsid w:val="1DAD0520"/>
    <w:rsid w:val="1EB61656"/>
    <w:rsid w:val="2178581B"/>
    <w:rsid w:val="21BC3427"/>
    <w:rsid w:val="21C5052E"/>
    <w:rsid w:val="21D02A2F"/>
    <w:rsid w:val="22E22A19"/>
    <w:rsid w:val="23024E6A"/>
    <w:rsid w:val="23571659"/>
    <w:rsid w:val="23645B24"/>
    <w:rsid w:val="236C49D9"/>
    <w:rsid w:val="2398757C"/>
    <w:rsid w:val="242F6132"/>
    <w:rsid w:val="24724271"/>
    <w:rsid w:val="24F209C9"/>
    <w:rsid w:val="252103E8"/>
    <w:rsid w:val="25B368EF"/>
    <w:rsid w:val="25D073F9"/>
    <w:rsid w:val="269639FF"/>
    <w:rsid w:val="26B80661"/>
    <w:rsid w:val="27135897"/>
    <w:rsid w:val="277946BD"/>
    <w:rsid w:val="27AC1848"/>
    <w:rsid w:val="27B93074"/>
    <w:rsid w:val="27C2106B"/>
    <w:rsid w:val="27CB43C4"/>
    <w:rsid w:val="27DB3EDB"/>
    <w:rsid w:val="27EB2370"/>
    <w:rsid w:val="27EC60E8"/>
    <w:rsid w:val="2874680A"/>
    <w:rsid w:val="28C8445F"/>
    <w:rsid w:val="2912392D"/>
    <w:rsid w:val="2A53244F"/>
    <w:rsid w:val="2B2A31B0"/>
    <w:rsid w:val="2B481888"/>
    <w:rsid w:val="2B717030"/>
    <w:rsid w:val="2C0C0B07"/>
    <w:rsid w:val="2D0B5263"/>
    <w:rsid w:val="2D23435A"/>
    <w:rsid w:val="2D2E2197"/>
    <w:rsid w:val="2D5B7F98"/>
    <w:rsid w:val="2D5D6739"/>
    <w:rsid w:val="2DBC4548"/>
    <w:rsid w:val="2DC86CB0"/>
    <w:rsid w:val="2E163EBF"/>
    <w:rsid w:val="2E255EB0"/>
    <w:rsid w:val="2F01691D"/>
    <w:rsid w:val="2F3C1703"/>
    <w:rsid w:val="2F3E7229"/>
    <w:rsid w:val="2F996B56"/>
    <w:rsid w:val="2FBD0A96"/>
    <w:rsid w:val="302F1268"/>
    <w:rsid w:val="306C7DC6"/>
    <w:rsid w:val="30E65DCB"/>
    <w:rsid w:val="30F85AFE"/>
    <w:rsid w:val="31102E48"/>
    <w:rsid w:val="31285CE5"/>
    <w:rsid w:val="3135465C"/>
    <w:rsid w:val="315471D8"/>
    <w:rsid w:val="32313075"/>
    <w:rsid w:val="32DA370D"/>
    <w:rsid w:val="3354119C"/>
    <w:rsid w:val="34796F56"/>
    <w:rsid w:val="34847DD4"/>
    <w:rsid w:val="34EF4EB3"/>
    <w:rsid w:val="35494B7A"/>
    <w:rsid w:val="35696FCA"/>
    <w:rsid w:val="358160C2"/>
    <w:rsid w:val="35ED7BFB"/>
    <w:rsid w:val="36541A28"/>
    <w:rsid w:val="36B44275"/>
    <w:rsid w:val="371D006C"/>
    <w:rsid w:val="37FB65FF"/>
    <w:rsid w:val="38146DE9"/>
    <w:rsid w:val="39904B26"/>
    <w:rsid w:val="39986D37"/>
    <w:rsid w:val="39BA1BA2"/>
    <w:rsid w:val="39D07618"/>
    <w:rsid w:val="3A3758E9"/>
    <w:rsid w:val="3B102C62"/>
    <w:rsid w:val="3B8C3A12"/>
    <w:rsid w:val="3C3E2F5F"/>
    <w:rsid w:val="3D7A6651"/>
    <w:rsid w:val="3DF8713D"/>
    <w:rsid w:val="3EE6168C"/>
    <w:rsid w:val="3F9F3D14"/>
    <w:rsid w:val="40980764"/>
    <w:rsid w:val="40C854ED"/>
    <w:rsid w:val="40D23C76"/>
    <w:rsid w:val="40EE3E7E"/>
    <w:rsid w:val="41166258"/>
    <w:rsid w:val="4142704D"/>
    <w:rsid w:val="41931657"/>
    <w:rsid w:val="42E163F2"/>
    <w:rsid w:val="42F500EF"/>
    <w:rsid w:val="436B215F"/>
    <w:rsid w:val="456F23DB"/>
    <w:rsid w:val="457F0FBD"/>
    <w:rsid w:val="46DF70EC"/>
    <w:rsid w:val="47307948"/>
    <w:rsid w:val="47392CA0"/>
    <w:rsid w:val="473E02B7"/>
    <w:rsid w:val="47617B01"/>
    <w:rsid w:val="47665118"/>
    <w:rsid w:val="47AB6FCE"/>
    <w:rsid w:val="47BA4FB6"/>
    <w:rsid w:val="47DA0270"/>
    <w:rsid w:val="47E26E94"/>
    <w:rsid w:val="47EA7AF7"/>
    <w:rsid w:val="48DB1B35"/>
    <w:rsid w:val="4949110C"/>
    <w:rsid w:val="4989182E"/>
    <w:rsid w:val="49942410"/>
    <w:rsid w:val="499E0979"/>
    <w:rsid w:val="49D547D7"/>
    <w:rsid w:val="49DB1DED"/>
    <w:rsid w:val="49E02B07"/>
    <w:rsid w:val="4A4F6337"/>
    <w:rsid w:val="4ACF7478"/>
    <w:rsid w:val="4ADA676F"/>
    <w:rsid w:val="4B090CDC"/>
    <w:rsid w:val="4BB87F0C"/>
    <w:rsid w:val="4D53092F"/>
    <w:rsid w:val="4DCF1001"/>
    <w:rsid w:val="4DE80F7C"/>
    <w:rsid w:val="4EC310A1"/>
    <w:rsid w:val="4FA964E9"/>
    <w:rsid w:val="4FBA1E21"/>
    <w:rsid w:val="50D86713"/>
    <w:rsid w:val="516369CA"/>
    <w:rsid w:val="51A056CA"/>
    <w:rsid w:val="51A100B8"/>
    <w:rsid w:val="51DF4444"/>
    <w:rsid w:val="51EB4B97"/>
    <w:rsid w:val="521265C8"/>
    <w:rsid w:val="5281374D"/>
    <w:rsid w:val="52DB10B0"/>
    <w:rsid w:val="536C7F5A"/>
    <w:rsid w:val="5395747B"/>
    <w:rsid w:val="53E775E0"/>
    <w:rsid w:val="54906647"/>
    <w:rsid w:val="54DE6C35"/>
    <w:rsid w:val="54F16968"/>
    <w:rsid w:val="55BC09C5"/>
    <w:rsid w:val="57504590"/>
    <w:rsid w:val="575C02E5"/>
    <w:rsid w:val="576F1DC6"/>
    <w:rsid w:val="57707A2A"/>
    <w:rsid w:val="57AE0B41"/>
    <w:rsid w:val="581D7A74"/>
    <w:rsid w:val="58A9755A"/>
    <w:rsid w:val="5926219C"/>
    <w:rsid w:val="59C7413C"/>
    <w:rsid w:val="5A292701"/>
    <w:rsid w:val="5A3F1F24"/>
    <w:rsid w:val="5B242EC8"/>
    <w:rsid w:val="5B977B3E"/>
    <w:rsid w:val="5C7B745F"/>
    <w:rsid w:val="5CEB7F6F"/>
    <w:rsid w:val="5D4C593F"/>
    <w:rsid w:val="5D7C523D"/>
    <w:rsid w:val="5D9C0D6D"/>
    <w:rsid w:val="5DA84284"/>
    <w:rsid w:val="5E4775F9"/>
    <w:rsid w:val="5E7D301B"/>
    <w:rsid w:val="5EFC0C59"/>
    <w:rsid w:val="5F7A1C50"/>
    <w:rsid w:val="5F81207B"/>
    <w:rsid w:val="5FCF5AF8"/>
    <w:rsid w:val="60B13450"/>
    <w:rsid w:val="60D158A0"/>
    <w:rsid w:val="61357BDD"/>
    <w:rsid w:val="613A3445"/>
    <w:rsid w:val="61857F0D"/>
    <w:rsid w:val="619743F4"/>
    <w:rsid w:val="61FE26C5"/>
    <w:rsid w:val="62F07ABE"/>
    <w:rsid w:val="63CB65D6"/>
    <w:rsid w:val="63D062E3"/>
    <w:rsid w:val="63D47B81"/>
    <w:rsid w:val="63EF783E"/>
    <w:rsid w:val="64104931"/>
    <w:rsid w:val="64306D81"/>
    <w:rsid w:val="64446389"/>
    <w:rsid w:val="650F789D"/>
    <w:rsid w:val="651E4E2C"/>
    <w:rsid w:val="65730B0B"/>
    <w:rsid w:val="66417024"/>
    <w:rsid w:val="66BA2932"/>
    <w:rsid w:val="6753700F"/>
    <w:rsid w:val="67987117"/>
    <w:rsid w:val="67F325A0"/>
    <w:rsid w:val="68354966"/>
    <w:rsid w:val="68784853"/>
    <w:rsid w:val="68F95994"/>
    <w:rsid w:val="68FB795E"/>
    <w:rsid w:val="69010354"/>
    <w:rsid w:val="692769A5"/>
    <w:rsid w:val="699B3E01"/>
    <w:rsid w:val="6A57283A"/>
    <w:rsid w:val="6A647785"/>
    <w:rsid w:val="6A99742E"/>
    <w:rsid w:val="6B106FC5"/>
    <w:rsid w:val="6B476E8A"/>
    <w:rsid w:val="6C007039"/>
    <w:rsid w:val="6C0134DD"/>
    <w:rsid w:val="6C9D0D2C"/>
    <w:rsid w:val="6D0A63C2"/>
    <w:rsid w:val="6D4A2C62"/>
    <w:rsid w:val="6D5E04BB"/>
    <w:rsid w:val="6D7B106D"/>
    <w:rsid w:val="6DA5433C"/>
    <w:rsid w:val="6DC04CD2"/>
    <w:rsid w:val="6E070B53"/>
    <w:rsid w:val="6E237DA5"/>
    <w:rsid w:val="6E5950D7"/>
    <w:rsid w:val="6E7C509D"/>
    <w:rsid w:val="6ED07197"/>
    <w:rsid w:val="6FAD572A"/>
    <w:rsid w:val="6FF944CB"/>
    <w:rsid w:val="704C0A9F"/>
    <w:rsid w:val="711C2B67"/>
    <w:rsid w:val="71312108"/>
    <w:rsid w:val="71381023"/>
    <w:rsid w:val="72104ED5"/>
    <w:rsid w:val="725B76BF"/>
    <w:rsid w:val="72AB41A3"/>
    <w:rsid w:val="732E26DE"/>
    <w:rsid w:val="733F6699"/>
    <w:rsid w:val="74FC6F38"/>
    <w:rsid w:val="751D2A0A"/>
    <w:rsid w:val="75264883"/>
    <w:rsid w:val="769136B0"/>
    <w:rsid w:val="76D65566"/>
    <w:rsid w:val="776808B4"/>
    <w:rsid w:val="777803CC"/>
    <w:rsid w:val="7956298E"/>
    <w:rsid w:val="798E3ED6"/>
    <w:rsid w:val="79E1494E"/>
    <w:rsid w:val="7A4D5B40"/>
    <w:rsid w:val="7A7C6425"/>
    <w:rsid w:val="7A8A6D94"/>
    <w:rsid w:val="7AB20098"/>
    <w:rsid w:val="7B1F572E"/>
    <w:rsid w:val="7B203254"/>
    <w:rsid w:val="7B2965AD"/>
    <w:rsid w:val="7BF00E78"/>
    <w:rsid w:val="7C5F7DAC"/>
    <w:rsid w:val="7C914077"/>
    <w:rsid w:val="7CE04A49"/>
    <w:rsid w:val="7DE762AB"/>
    <w:rsid w:val="7DFD787D"/>
    <w:rsid w:val="7E327526"/>
    <w:rsid w:val="7F435763"/>
    <w:rsid w:val="7F5931D8"/>
    <w:rsid w:val="7F673200"/>
    <w:rsid w:val="7F9164CE"/>
    <w:rsid w:val="7FB81CAD"/>
    <w:rsid w:val="7FC70142"/>
    <w:rsid w:val="7FD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extAlignment w:val="center"/>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4">
    <w:name w:val="Normal (Web)"/>
    <w:basedOn w:val="1"/>
    <w:semiHidden/>
    <w:unhideWhenUsed/>
    <w:qFormat/>
    <w:uiPriority w:val="99"/>
    <w:pPr>
      <w:widowControl/>
      <w:spacing w:before="100" w:beforeAutospacing="1" w:after="100" w:afterAutospacing="1"/>
    </w:pPr>
    <w:rPr>
      <w:rFonts w:cs="宋体"/>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6440</Words>
  <Characters>7327</Characters>
  <Lines>57</Lines>
  <Paragraphs>16</Paragraphs>
  <TotalTime>0</TotalTime>
  <ScaleCrop>false</ScaleCrop>
  <LinksUpToDate>false</LinksUpToDate>
  <CharactersWithSpaces>7710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2025-05-22T05:54:00Z</dcterms:created>
  <dcterms:modified xsi:type="dcterms:W3CDTF">2025-05-27T01:40:02Z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eyJoZGlkIjoiMmQyOWI4MTA5ZjUxOTVhZDRlNGViNjg4YmFkOWNhMjAiLCJ1c2VySWQiOiI3NjQ3NDAxODcifQ==</vt:lpwstr>
  </property>
  <property fmtid="{D5CDD505-2E9C-101B-9397-08002B2CF9AE}" pid="4" name="ICV">
    <vt:lpwstr>27084B1DAD0C40CA89F32E1C448188F2_12</vt:lpwstr>
  </property>
</Properties>
</file>