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327356">
      <w:pPr>
        <w:pStyle w:val="2"/>
        <w:keepNext w:val="0"/>
        <w:keepLines w:val="0"/>
        <w:widowControl/>
        <w:suppressLineNumbers w:val="0"/>
        <w:spacing w:line="240" w:lineRule="auto"/>
        <w:ind w:firstLine="2249" w:firstLineChars="800"/>
        <w:rPr>
          <w:rFonts w:hint="eastAsia" w:ascii="宋体" w:hAnsi="宋体" w:eastAsia="宋体" w:cs="宋体"/>
          <w:color w:val="auto"/>
          <w:sz w:val="28"/>
          <w:szCs w:val="28"/>
        </w:rPr>
      </w:pPr>
      <w:r>
        <w:rPr>
          <w:rFonts w:hint="eastAsia" w:ascii="宋体" w:hAnsi="宋体" w:eastAsia="宋体" w:cs="宋体"/>
          <w:color w:val="auto"/>
          <w:sz w:val="28"/>
          <w:szCs w:val="28"/>
        </w:rPr>
        <w:t>江苏省盐城市2025届高三考前指导</w:t>
      </w:r>
    </w:p>
    <w:p w14:paraId="3150FF87">
      <w:pPr>
        <w:pStyle w:val="2"/>
        <w:keepNext w:val="0"/>
        <w:keepLines w:val="0"/>
        <w:widowControl/>
        <w:suppressLineNumbers w:val="0"/>
        <w:spacing w:line="240" w:lineRule="auto"/>
        <w:ind w:firstLine="3654" w:firstLineChars="1300"/>
        <w:rPr>
          <w:rFonts w:hint="eastAsia" w:ascii="宋体" w:hAnsi="宋体" w:eastAsia="宋体" w:cs="宋体"/>
          <w:color w:val="auto"/>
          <w:sz w:val="28"/>
          <w:szCs w:val="28"/>
        </w:rPr>
      </w:pPr>
      <w:r>
        <w:rPr>
          <w:rFonts w:hint="eastAsia" w:ascii="宋体" w:hAnsi="宋体" w:eastAsia="宋体" w:cs="宋体"/>
          <w:color w:val="auto"/>
          <w:sz w:val="28"/>
          <w:szCs w:val="28"/>
        </w:rPr>
        <w:t>语文试题</w:t>
      </w:r>
    </w:p>
    <w:p w14:paraId="73B849A5">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注意事项：</w:t>
      </w:r>
    </w:p>
    <w:p w14:paraId="31E632F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1.本试卷考试时间为150分钟，试卷满分150分，考试形式闭卷；</w:t>
      </w:r>
    </w:p>
    <w:p w14:paraId="53459CC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2.本试卷中所有试题必须作答在答题卡上规定的位置，否则不给分；</w:t>
      </w:r>
    </w:p>
    <w:p w14:paraId="4E0855F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3.答题前，务必将自己的学校、班级、姓名、准考证号用0.5毫米黑色墨水签字笔填写在试卷及答题卡上。</w:t>
      </w:r>
    </w:p>
    <w:p w14:paraId="0C0680BA">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一、现代文阅读(35分)</w:t>
      </w:r>
    </w:p>
    <w:p w14:paraId="0782FCE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（一）现代文阅读Ⅰ（本题共5小题，19分）</w:t>
      </w:r>
    </w:p>
    <w:p w14:paraId="71CDC95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阅读下面的文字，完成1~5题。</w:t>
      </w:r>
    </w:p>
    <w:p w14:paraId="285A72C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①当前的中国社会正处于快速变化之中，新社会现象、新社会群体和组织不断出现。在新的时代背景下，数字和人工智能技术带来了便利，也带来了新问题。但无论是面对新社会现象还是网络虚构的社会现实，我们认为深入、真实认识社会的一个重要方法，就是开展社会调查。</w:t>
      </w:r>
    </w:p>
    <w:p w14:paraId="21768BA6">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田野调查最初是人类学使用的概念，指的是早期的人类学家深入一些部落和初民社会进行的调查。由于语言和文化隔阂，人类学家一般要经过与研究对象较长时间的共同生活才能对其形成理解。田野调查在当前的社会学中一般是指实地调查，“田野”强调的是去现场，并不限于狭义上的田野和农村，城市、工厂等都是社会学的“田野”。</w:t>
      </w:r>
    </w:p>
    <w:p w14:paraId="1B8121B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在中国社会学发展脉络中，田野调查的前身是“社区研究”。民国时期吴文藻提出了“社区研究”的思路。他认为，“社区”在中国最适合的研究单位不是城市街区而是村庄，除了研究村庄的物质状况，还要了解它的制度、传统、准则、价值、意见乃至民风礼俗、精神理想等。</w:t>
      </w:r>
    </w:p>
    <w:p w14:paraId="25C450A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④费孝通自20世纪80年代主持恢复重建社会学学科以来，大力提倡社区研究的方法。他通过回顾一生的田野调查，指出社会研究一个重要局限性在于只是研究“看得见摸得着”的制度、政策和结构等“生态”层面。许多欠发达的地区在这些方面与发达地区并没有根本差别，要真正找到问题的本质，需要更深入一步，进入“只能意会、不能言传”的“心态”领域。因此，田野调查真正的研究对象是“心态”而不是“生态”，或者说是从“生态”到“心态”。</w:t>
      </w:r>
    </w:p>
    <w:p w14:paraId="35B9BB4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⑤要研究这些“言外之意”，研究者只是在田野中进行访谈、观察和记录是远远不够的，还要调整和提升自己的“心态”，以把握和理解研究对象的“心态”。费孝通对研究对象“心态”的讨论较多，而对研究者的“心态”却涉及甚少。在笔者看来，研究者的“心态”应该具备两个方面，引用钱穆的话，可以叫作“温情与敬意”。</w:t>
      </w:r>
    </w:p>
    <w:p w14:paraId="013C0A4F">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⑥“敬意”的“心态”，是指研究者在田野中应保持一种尊重的态度。这种态度首先是要把自己和研究对象放在平行、平等、贴近的位置，自己不是从空中高处进行鸟瞰，而是研究对象的同行者。当然，由于人类学研究的是完全异己的文化，其外部观察的“心态”很多时候是一种不得已的选择。对于越熟悉的田野，自己越容易变成局内人，越容易从研究对象的眼睛和心灵去理解他们的世界，这是对研究对象最大的敬意。由此而言，对田野调查的对象越熟悉，就越容易进入“心态”的层面。事实上，在人与人相处中，正是保持敬意的态度才使我们的眼睛更加明亮，更加具有洞察力。</w:t>
      </w:r>
    </w:p>
    <w:p w14:paraId="173F6FD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⑦“温情”的“心态”，是指研究者在田野中应该保持一种共情的态度。这种共情态度的根源，在于对田野调查研究目的的认识。研究者如果只是出于科研发表或者社会管理的目的来进行研究，与被研究者的福祉不相干甚至相反，又怎么能够感其所感、心心相通？可能有人认为，温情不是一种客观的态度，会影响研究的科学性。如果我们认为田野调查的目的就是要对研究对象的心态、底蕴有深刻的认识，那么最为客观的态度就是以其心为心、共其情为情。反之，将研究对象当作木石砖瓦来“客观”地研究，是主观唯心的态度，离科学只能更远。</w:t>
      </w:r>
    </w:p>
    <w:p w14:paraId="025F261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⑧将心比心的田野调查，无论是发生在身边还是远方，都能给我们带来对真实社会的感受和洞察，这在信息爆炸的时代尤为珍贵。据粗略估计，当前中国互联网用户每天上网的时间超过5小时，超过70%的人通过互联网获取信息，有三分之二的信息是通过视频平台、社交平台等大众平台获得的。这些大众平台很多都会使用智能算法来推送信息，信息的生产者大多是普通用户，其中不乏以流量和关注度为目的的信息炒作者。在主要信息源包围之下，人们常常被层层包裹在“信息茧房”之中，表面上自由、开放、广阔的信息获取空间在很大程度上是狭隘、被操控甚至是被“定点投喂”的。具有讽刺意义的是，这种为每个人量身定做的虚构现实却是以用户自由获取的方式呈现的。人们的自由、自主和开放感也变成了虚构现实的一部分。可以说，一个人如果主要靠网络来获得信息和认识，那么他生命的一个重要部分是生活在虚构的社会中。在这个社会中，热点事件、重要议题以及各种热搜，表面上是社会大众关注的结果，而实际上很可能是操纵大众注意力的原因。</w:t>
      </w:r>
    </w:p>
    <w:p w14:paraId="78A088F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⑨人们在这个虚构社会中的意见和态度很容易变成泛滥的洪流，自己的心态又被这些洪流所裹挟，成为裹挟其他人的力量。要在洪流中岿然不动，关键是要让自己扎根于真实社会之中。真实社会的大多数人并不在网上发声，而是一如既往地生产和生活。在网上一呼百应的“大V”或者四面出击的“键盘侠”，在真实社会中很多都是普通人，与在网上的形象和行为形成很大反差。他们在真实社会中不能摆脱社会关系的缠绕牵挂以及面对理想与现实时的纠结，这些构成真实社会的基本要素在网络上经常被掩盖或视而不见，人们在虚拟社会中更倾向于做一个旁观者或评论者。越来越多利用网络进行社会调查，是当前的一个发展取向，也有些人在探索网络的田野调查或田野民族志。田野调查的本质特点在于心灵的感通而非语言的交流，只有“身临其境”，才能“心知其意”。尽管网络田野调查能帮助我们迅速“见到”远方的研究对象，能够和他们“面对面”地交谈，无疑极大拓展了田野调查的应用范围，但却在很大程度上失去了田野调查所独有的优势，这是网络田野调查的最大局限所在。</w:t>
      </w:r>
    </w:p>
    <w:p w14:paraId="545464D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⑩当前社会的迅速数字化、智能化，使得人们越来越倾向于以数字分析来代替社会现实。每个人的生活虽然是真实的，对他人、社会和世界的理解却越来越数字化和虚拟化。在这个意义上，田野调查不仅是社会和政策研究的事，也是数字时代每一个人认识自我和认识社会的重要工具。</w:t>
      </w:r>
    </w:p>
    <w:p w14:paraId="0A8BF20D">
      <w:pPr>
        <w:pStyle w:val="5"/>
        <w:keepNext w:val="0"/>
        <w:keepLines w:val="0"/>
        <w:widowControl/>
        <w:suppressLineNumbers w:val="0"/>
        <w:spacing w:after="120" w:afterAutospacing="0" w:line="240" w:lineRule="auto"/>
        <w:ind w:left="0" w:firstLine="420"/>
        <w:jc w:val="righ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（摘编自周飞舟《身临其境、心知其意：以田野调查认识真实社会》）</w:t>
      </w:r>
    </w:p>
    <w:p w14:paraId="064B57D6">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1.下列对原文相关内容的理解和分析，不正确的一项是（3分）</w:t>
      </w:r>
    </w:p>
    <w:p w14:paraId="75F14A90">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A.“田野调查”一词最早来源于人类学，在发展过程中，“田野”这一概念经历了由狭义到广义的嬗变。</w:t>
      </w:r>
    </w:p>
    <w:p w14:paraId="5F6979D0">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B.吴文藻认为村庄是进行中国社区研究最适合的研究单位，并指出社区研究包含物质层面和非物质层面。</w:t>
      </w:r>
    </w:p>
    <w:p w14:paraId="34ECAB0F">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C.费孝通认为要找出社会研究方面问题的本质，不仅要进行“生态”层面研究，还要进行“心态”层面研究。</w:t>
      </w:r>
    </w:p>
    <w:p w14:paraId="069F190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D.当下社会，各种热点事件、重要议题产生的根本原因不是社会大众的关注，而是智能算法的操控。</w:t>
      </w:r>
    </w:p>
    <w:p w14:paraId="773787F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2.根据原文内容下列说法不正确的一项是（3分）</w:t>
      </w:r>
    </w:p>
    <w:p w14:paraId="524902EF">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A.社会研究不仅要注重物质状况，也要注重制度等方面，在这一点上吴文藻和费孝通的观点是一致的。</w:t>
      </w:r>
    </w:p>
    <w:p w14:paraId="3C1C2F34">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B.基于对田野调查目的的正确认识，在田野调查中保持“温情和敬意”的心态能使研究更科学。</w:t>
      </w:r>
    </w:p>
    <w:p w14:paraId="56AA764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C.在今天的互联网上，用户看似能自由、开放地获取各种信息，但这些信息不一定能帮助他们了解一个完全真实的社会。</w:t>
      </w:r>
    </w:p>
    <w:p w14:paraId="521DD1E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D.网络田野调查能够迅速“看到”远方的研究对象并进行“面对面”地交谈，但与实地田野调查相比，也存在一定不足。</w:t>
      </w:r>
    </w:p>
    <w:p w14:paraId="69F0C53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3.根据材料内容，下列各项中符合“以田野调查认识真实社会”的一项是（3分）</w:t>
      </w:r>
    </w:p>
    <w:p w14:paraId="6DDD50D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A.某车企向公众发放随机问卷调查，来了解用户对新能源汽车安全性的认知情况。</w:t>
      </w:r>
    </w:p>
    <w:p w14:paraId="5C35DB05">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B.一位人类学专业大学生在互联网上观看大量纪录片，完成异文化研究毕业论文。</w:t>
      </w:r>
    </w:p>
    <w:p w14:paraId="68A7776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C.学校历史社团的学生到档案馆查阅相关资料，研究“中国历史上的盐文化”课题。</w:t>
      </w:r>
    </w:p>
    <w:p w14:paraId="5445035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D.陈同学到站点访谈多位外卖小哥，完成了对外卖行业时间管理制度的考察研究。</w:t>
      </w:r>
    </w:p>
    <w:p w14:paraId="45384399">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4.请简要梳理材料的行文脉络。（4分）</w:t>
      </w:r>
    </w:p>
    <w:p w14:paraId="487B6A5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5.习近平总书记在2022年12月的中央政治局会议上强调要大兴调查研究之风。在新的时代背景下，我们该如何通过调查研究来深入、真实地认识中国社会，请结合材料简要分析。（6分）</w:t>
      </w:r>
    </w:p>
    <w:p w14:paraId="721C449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（二）现代文阅读Ⅱ（本题共4小题，16分）</w:t>
      </w:r>
    </w:p>
    <w:p w14:paraId="6620CFB9">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阅读下面的文字，完成6~9题。</w:t>
      </w:r>
    </w:p>
    <w:p w14:paraId="67B5EFB2">
      <w:pPr>
        <w:pStyle w:val="5"/>
        <w:keepNext w:val="0"/>
        <w:keepLines w:val="0"/>
        <w:widowControl/>
        <w:suppressLineNumbers w:val="0"/>
        <w:spacing w:after="120" w:afterAutospacing="0" w:line="240" w:lineRule="auto"/>
        <w:ind w:left="0" w:firstLine="420"/>
        <w:jc w:val="center"/>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白发生黑丝</w:t>
      </w:r>
    </w:p>
    <w:p w14:paraId="3D3F4AB0">
      <w:pPr>
        <w:pStyle w:val="5"/>
        <w:keepNext w:val="0"/>
        <w:keepLines w:val="0"/>
        <w:widowControl/>
        <w:suppressLineNumbers w:val="0"/>
        <w:spacing w:after="120" w:afterAutospacing="0" w:line="240" w:lineRule="auto"/>
        <w:ind w:left="0" w:firstLine="420"/>
        <w:jc w:val="center"/>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冯   至</w:t>
      </w:r>
    </w:p>
    <w:p w14:paraId="6665654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大历四年冬天，寒流侵袭潭州，大雪下得家家灶冷，户户衣单。杜甫以船为家，停泊在湘江岸旁，已经四个多月了。</w:t>
      </w:r>
    </w:p>
    <w:p w14:paraId="2FCA3C2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一天，儿子宗武又到渔市上摆药摊去了。阳光照耀着水上的波纹，江上的船只轻轻地摇来摇去。杜甫一人靠着长年随身的乌皮几，不由地想起许多问题。</w:t>
      </w:r>
    </w:p>
    <w:p w14:paraId="0F78AA04">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他一生饱经忧患，写了两千多首诗，而莽莽乾坤，自己却漂泊无依有如水上的一片浮萍。多少亲朋故旧，见面时输心道故，甚至慷慨悲歌，可是一分手就各自东西，谁也照顾不了谁。想不到几个萍水相逢的渔夫，对他却这样体贴照顾，使他感到无限温暖。而自己过去对待穷苦的人是怎样呢？秋收时，地里多丢下一些谷穗，任凭村童拾取也不干涉，自以为这就是很能体贴穷人了。此外写了些替穷人说话、为穷人着想的诗歌，但是比起渔夫们对他的热心关怀，还是差得很多。像《茅屋为秋风所破歌》，也是出自一片至诚，但是对于“寒士”们到底能有什么帮助呢？想来想去，总觉得自己爱人民的心远远赶不上渔夫们爱他的心那样朴素、真诚而又实际。他看见农民和渔民被租税压得活不下去时，想的只是“谁能叩君门，下令减征赋”，可是渔夫们看见他活不下去时，却替他想出卖药的办法。请皇帝减征赋，只是一个空的愿望，而渔夫替他想的办法，却立见功效。</w:t>
      </w:r>
    </w:p>
    <w:p w14:paraId="49F3B429">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他对于他那两句自以为很得意的诗发生了疑问。</w:t>
      </w:r>
    </w:p>
    <w:p w14:paraId="69514BB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正在这时，宗武提着药袋回来了，后边跟着一个客人。</w:t>
      </w:r>
    </w:p>
    <w:p w14:paraId="4E1B31D4">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这客人大约四十多岁，中等身材。上了船，和杜甫寒暄了几句，他说他姓苏名涣，是潭州刺史幕府里的从事。过去在巴州，就仰慕杜甫的大名。最近在崔刺史幕府里读到几卷传钞的杜甫的诗，感到不同凡响。</w:t>
      </w:r>
    </w:p>
    <w:p w14:paraId="2D1F30A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他接着说起自己的过去。“我亲眼看着巴州一带的人世世代代无法摆脱的负担和痛苦，我不能容忍了，纠集了百十个健壮青年，隐伏在巴山里，仰仗我的弩弓，专门截杀吸血的商人和敲人骨髓的官吏。”说到这里，他脸上露出一点笑容，好像要缓和一下由他的谈话所引起的紧张气氛。他笑着向杜甫说，“你的《光禄坂行》里有两句诗，‘马惊不忧深谷坠，草动只怕长弓射’，请你放心，你若是从我们巴州的山下经过，我们的长弓是不会向你射击的，我们会对你表示热烈的欢迎。</w:t>
      </w:r>
    </w:p>
    <w:p w14:paraId="62C1A5B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话刚脱口，苏涣就自觉失言，可是杜甫并不介意。苏涣立刻接着说，“你在梓州时期的诗‘盗贼本王臣’，说得对。那些王公大人说起强盗来，罪大恶极，个个该杀，其实强盗哪一个不是善良的老百姓，租税徭役，逼得人们无路可走，不当强盗又怎么办？不过你老人家还是太忠厚了，总希望皇帝略有醒悟，能减税减租，来解除百姓苦难，你看，这能办得到吗？皇帝和他的大臣们，若是不向老百姓索取租税，还不是比穷人更没有法子活下去？不过我当时也把事情看得太简单了，以为只要振臂一呼，就可以解除大家的苦难。实际上，我们起事不久，就因为人力孤单，遭到了失败。”</w:t>
      </w:r>
    </w:p>
    <w:p w14:paraId="3C5C5BD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他没有说他是怎样失败的，杜甫也不想追问。杜甫近来常常考虑，到底怎么样才能真正解除百姓的苦难，想来想去，总是想不通，现在听到苏涣这一番话，像是闻所未闻，却也含有一些新的道理。这道理仿佛是在八表同昏的宇宙中透露的一线微光，在处处穷途的旅人面前伸出来的一条小路。但他一时回答不出话来。</w:t>
      </w:r>
    </w:p>
    <w:p w14:paraId="70AFF3D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苏涣从怀里取出一个小手卷。他本来不惯写诗，近些年来，有了不少感触，还是用诗写下来比较合适。他用沉重的语调读给杜甫听：</w:t>
      </w:r>
    </w:p>
    <w:p w14:paraId="4F84451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毒蜂成一窠，高挂恶木枝。行人百步外，目断魂亦飞。长安大道边，挟弹谁家儿。右手持金丸，引满无所疑。一中纷下来，势若风雨随。身如万箭攒，宛转迷所之。徒有疾恶心，奈何不知几。</w:t>
      </w:r>
    </w:p>
    <w:p w14:paraId="2F65D2C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诗在艺术上，若拿杜甫平素对诗的要求来衡量，是相当粗糙的。但是它蕴藏着一种新的内容，表现了一种新的风格。杜甫把这首诗吟味了片刻，便兴奋地向他说，“我一向称赞陈子昂的《感遇诗》、李白的《古风》，今天听到你读了这首诗，可以说是陈李以外，又树立了一个新的旗帜。‘徒有疾恶心，奈何不知几’是你作了一番事业以后，得到的经验。我也一向嫉恶如仇，可是从中取得这类经验的事业，不用说作，我连想都还很少想过呢。“</w:t>
      </w:r>
    </w:p>
    <w:p w14:paraId="6E72598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杜甫尽管不能同意苏涣诗中个别的诗句，但是苏涣这个人和他的诗的出现，在杜甫看来，确是一个奇迹。同时他又把邻船上渔夫们的生活、言语、思想、感情认真思索了一番，觉得自己一生漂泊，看见的事物不算不多，接触的人不算不广，但究竟世界上还是有许多人和事不只没有遇到过，而且也没有想到过。不料在这垂暮之年，眼前又涌现出一些新的事物。自己也觉得年轻了许多，好像白头发里又生出黑发。</w:t>
      </w:r>
    </w:p>
    <w:p w14:paraId="749B884E">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杜甫和苏涣很快就成为亲密的朋友了。两人的政治态度有相当的距离，却不是没有渐渐接近趋于一致的可能。杜甫虽然没有放弃对皇帝的幻想，但是认为指责朝廷不合理的措施，爱护挣扎于生死之间的百姓，应该更为积极。他身体尽管衰弱，百病缠身，精神却更为健壮起来。</w:t>
      </w:r>
    </w:p>
    <w:p w14:paraId="31F6043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从此杜甫终日生活在渔夫们中间，也经常和苏涣来往。过了元旦，又过了清明，两岸桃李盛开，杜甫两目昏花，也觉得花枝照眼，生趣盎然，白发里的黑丝仿佛又多了一些。在这美好的春光里，尽管贪官污吏横行，混乱局面没有止境，他内心里却充满了力量和希望。</w:t>
      </w:r>
    </w:p>
    <w:p w14:paraId="5AA317E0">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但是这年冬天，杜甫忽然百病俱发，不久便病逝在湘江上的船中。苏涣到了岭南，东漂西泊，最后参加了循州刺史哥舒晃的起事，又遭受失败被杀害。这时距杜甫逝世，已经过了五年了。</w:t>
      </w:r>
    </w:p>
    <w:p w14:paraId="7C39B3FB">
      <w:pPr>
        <w:pStyle w:val="5"/>
        <w:keepNext w:val="0"/>
        <w:keepLines w:val="0"/>
        <w:widowControl/>
        <w:suppressLineNumbers w:val="0"/>
        <w:spacing w:after="120" w:afterAutospacing="0" w:line="240" w:lineRule="auto"/>
        <w:ind w:left="0" w:firstLine="420"/>
        <w:jc w:val="righ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1962年</w:t>
      </w:r>
    </w:p>
    <w:p w14:paraId="2BED1576">
      <w:pPr>
        <w:pStyle w:val="5"/>
        <w:keepNext w:val="0"/>
        <w:keepLines w:val="0"/>
        <w:widowControl/>
        <w:suppressLineNumbers w:val="0"/>
        <w:spacing w:after="120" w:afterAutospacing="0" w:line="240" w:lineRule="auto"/>
        <w:ind w:left="0" w:firstLine="420"/>
        <w:jc w:val="righ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（有删改）</w:t>
      </w:r>
    </w:p>
    <w:p w14:paraId="3A9D6AF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6.下列对文本相关内容和艺术特色的分析鉴赏，不正确的一项是（3分）</w:t>
      </w:r>
    </w:p>
    <w:p w14:paraId="4805CF96">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A.渔夫为杜甫想的卖药方法立见功效，杜甫由此反思自己对待穷苦人的态度与行为，生出对底层百姓的愧疚。</w:t>
      </w:r>
    </w:p>
    <w:p w14:paraId="62E5888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B.苏涣是劫富济贫的侠士，对皇帝认知清醒而起事反抗，杜甫对朝廷抱有幻想，他们不可能达成共识。</w:t>
      </w:r>
    </w:p>
    <w:p w14:paraId="554BB43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C.标题中的“白”与“黑”，以色彩对比象征杜甫与苏涣交往前后的心理变化，塑造出晚年杜甫积极振奋的形象。</w:t>
      </w:r>
    </w:p>
    <w:p w14:paraId="32461C24">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D.冯至创造性地将古典人物与人民群众并置，体现出历史文学书写中对人民生存状态的关注，有鲜明的时代性。</w:t>
      </w:r>
    </w:p>
    <w:p w14:paraId="5CDA67F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7.文中多次出现杜甫的诗歌，下列对相关内容的分析不正确的一项是（3分）</w:t>
      </w:r>
    </w:p>
    <w:p w14:paraId="0D8220B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A.看到渔夫们的艰难生活，杜甫意识到“谁能叩君门，下令减征赋”只是一个不切实际的愿望。</w:t>
      </w:r>
    </w:p>
    <w:p w14:paraId="63D0C84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B.苏涣在交流中感受到杜甫的不安，于是借用《光禄坂行》的诗句解释了他们的起事不会针对杜甫。</w:t>
      </w:r>
    </w:p>
    <w:p w14:paraId="187DA794">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C.“盗贼本王臣”这一句体现了杜甫对现实的批判和对民众的关切，苏涣借此抒发了内心的愤慨之情。</w:t>
      </w:r>
    </w:p>
    <w:p w14:paraId="67B6BF86">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D.文中多次引用杜甫诗歌，凸显了虚构中又有实据的创作特点，增强了历史小说的真实性与艺术性。</w:t>
      </w:r>
    </w:p>
    <w:p w14:paraId="7D7350E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8.文本在叙述杜甫与苏涣的交往时多次出现“新”字，请简要概括“新”的内容。（4分）</w:t>
      </w:r>
    </w:p>
    <w:p w14:paraId="7932368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9.你认为小说的最后一段可以删去吗？请结合文本简要说明理由。（6分）</w:t>
      </w:r>
    </w:p>
    <w:p w14:paraId="274DBB3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二、古代诗文阅读 (35分)</w:t>
      </w:r>
    </w:p>
    <w:p w14:paraId="0D248A6A">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（一）文言文阅读（本题共5小题，20分）</w:t>
      </w:r>
    </w:p>
    <w:p w14:paraId="157AAB0C">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阅读下面的文言文，完成10~14题。</w:t>
      </w:r>
    </w:p>
    <w:p w14:paraId="15F54D6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材料一：</w:t>
      </w:r>
    </w:p>
    <w:p w14:paraId="5A33CADC">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子贡曰：“</w:t>
      </w:r>
      <w:r>
        <w:rPr>
          <w:rFonts w:hint="eastAsia" w:ascii="宋体" w:hAnsi="宋体" w:eastAsia="宋体" w:cs="宋体"/>
          <w:caps w:val="0"/>
          <w:color w:val="auto"/>
          <w:sz w:val="21"/>
          <w:szCs w:val="21"/>
          <w:u w:val="single"/>
          <w:shd w:val="clear" w:fill="FFFFFF"/>
        </w:rPr>
        <w:t>陈灵公宣淫于朝泄冶正谏而杀之是与比于谏而死同可谓仁乎</w:t>
      </w:r>
      <w:r>
        <w:rPr>
          <w:rFonts w:hint="eastAsia" w:ascii="宋体" w:hAnsi="宋体" w:eastAsia="宋体" w:cs="宋体"/>
          <w:caps w:val="0"/>
          <w:color w:val="auto"/>
          <w:sz w:val="21"/>
          <w:szCs w:val="21"/>
          <w:shd w:val="clear" w:fill="FFFFFF"/>
        </w:rPr>
        <w:t>？”子曰：“比干于纣，亲则诸父，官则少师，忠报之心在于宗庙而已，固必以死争之，冀身死之后，纣将悔悟，其本志情在于仁者也。泄冶之于灵公，位在大夫，无骨肉之亲，怀宠不去，仕于乱朝，以区区之一身，欲</w:t>
      </w:r>
      <w:r>
        <w:rPr>
          <w:rFonts w:hint="eastAsia" w:ascii="宋体" w:hAnsi="宋体" w:eastAsia="宋体" w:cs="宋体"/>
          <w:caps w:val="0"/>
          <w:color w:val="auto"/>
          <w:sz w:val="21"/>
          <w:szCs w:val="21"/>
          <w:shd w:val="clear" w:fill="FFFFFF"/>
          <w:em w:val="dot"/>
        </w:rPr>
        <w:t>正</w:t>
      </w:r>
      <w:r>
        <w:rPr>
          <w:rFonts w:hint="eastAsia" w:ascii="宋体" w:hAnsi="宋体" w:eastAsia="宋体" w:cs="宋体"/>
          <w:caps w:val="0"/>
          <w:color w:val="auto"/>
          <w:sz w:val="21"/>
          <w:szCs w:val="21"/>
          <w:shd w:val="clear" w:fill="FFFFFF"/>
        </w:rPr>
        <w:t>一国之淫昏，死而无益，可谓狷矣。诗云： ‘民之多</w:t>
      </w:r>
      <w:r>
        <w:rPr>
          <w:rFonts w:hint="eastAsia" w:ascii="宋体" w:hAnsi="宋体" w:eastAsia="宋体" w:cs="宋体"/>
          <w:caps w:val="0"/>
          <w:color w:val="auto"/>
          <w:sz w:val="21"/>
          <w:szCs w:val="21"/>
          <w:shd w:val="clear" w:fill="FFFFFF"/>
          <w:em w:val="dot"/>
        </w:rPr>
        <w:t>辟</w:t>
      </w:r>
      <w:r>
        <w:rPr>
          <w:rFonts w:hint="eastAsia" w:ascii="宋体" w:hAnsi="宋体" w:eastAsia="宋体" w:cs="宋体"/>
          <w:caps w:val="0"/>
          <w:color w:val="auto"/>
          <w:sz w:val="21"/>
          <w:szCs w:val="21"/>
          <w:shd w:val="clear" w:fill="FFFFFF"/>
        </w:rPr>
        <w:t>，无自立辟。’其泄冶之谓乎。”</w:t>
      </w:r>
    </w:p>
    <w:p w14:paraId="6736163B">
      <w:pPr>
        <w:pStyle w:val="5"/>
        <w:keepNext w:val="0"/>
        <w:keepLines w:val="0"/>
        <w:widowControl/>
        <w:suppressLineNumbers w:val="0"/>
        <w:spacing w:after="120" w:afterAutospacing="0" w:line="240" w:lineRule="auto"/>
        <w:ind w:left="0" w:firstLine="420"/>
        <w:jc w:val="righ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（节选自《孔子家语》）</w:t>
      </w:r>
    </w:p>
    <w:p w14:paraId="4072A722">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材料二：</w:t>
      </w:r>
    </w:p>
    <w:p w14:paraId="556345E9">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穆宗、敬宗之无道也，</w:t>
      </w:r>
      <w:r>
        <w:rPr>
          <w:rFonts w:hint="eastAsia" w:ascii="宋体" w:hAnsi="宋体" w:eastAsia="宋体" w:cs="宋体"/>
          <w:caps w:val="0"/>
          <w:color w:val="auto"/>
          <w:sz w:val="21"/>
          <w:szCs w:val="21"/>
          <w:u w:val="single"/>
          <w:shd w:val="clear" w:fill="FFFFFF"/>
        </w:rPr>
        <w:t>谏之者极言其失，虽不能行，未尝不以为允而矜全之也</w:t>
      </w:r>
      <w:r>
        <w:rPr>
          <w:rFonts w:hint="eastAsia" w:ascii="宋体" w:hAnsi="宋体" w:eastAsia="宋体" w:cs="宋体"/>
          <w:caps w:val="0"/>
          <w:color w:val="auto"/>
          <w:sz w:val="21"/>
          <w:szCs w:val="21"/>
          <w:shd w:val="clear" w:fill="FFFFFF"/>
        </w:rPr>
        <w:t>。至于懿宗，</w:t>
      </w:r>
      <w:r>
        <w:rPr>
          <w:rFonts w:hint="eastAsia" w:ascii="宋体" w:hAnsi="宋体" w:eastAsia="宋体" w:cs="宋体"/>
          <w:caps w:val="0"/>
          <w:color w:val="auto"/>
          <w:sz w:val="21"/>
          <w:szCs w:val="21"/>
          <w:shd w:val="clear" w:fill="FFFFFF"/>
          <w:em w:val="dot"/>
        </w:rPr>
        <w:t>私</w:t>
      </w:r>
      <w:r>
        <w:rPr>
          <w:rFonts w:hint="eastAsia" w:ascii="宋体" w:hAnsi="宋体" w:eastAsia="宋体" w:cs="宋体"/>
          <w:caps w:val="0"/>
          <w:color w:val="auto"/>
          <w:sz w:val="21"/>
          <w:szCs w:val="21"/>
          <w:shd w:val="clear" w:fill="FFFFFF"/>
        </w:rPr>
        <w:t>路严而流陈蟠叟于爱州；同昌公主死，欲族医官，而贬温璋为振州司马，使仰药以死，</w:t>
      </w:r>
      <w:r>
        <w:rPr>
          <w:rFonts w:hint="eastAsia" w:ascii="宋体" w:hAnsi="宋体" w:eastAsia="宋体" w:cs="宋体"/>
          <w:caps w:val="0"/>
          <w:color w:val="auto"/>
          <w:sz w:val="21"/>
          <w:szCs w:val="21"/>
          <w:shd w:val="clear" w:fill="FFFFFF"/>
          <w:em w:val="dot"/>
        </w:rPr>
        <w:t>且</w:t>
      </w:r>
      <w:r>
        <w:rPr>
          <w:rFonts w:hint="eastAsia" w:ascii="宋体" w:hAnsi="宋体" w:eastAsia="宋体" w:cs="宋体"/>
          <w:caps w:val="0"/>
          <w:color w:val="auto"/>
          <w:sz w:val="21"/>
          <w:szCs w:val="21"/>
          <w:shd w:val="clear" w:fill="FFFFFF"/>
        </w:rPr>
        <w:t>寄恨于刘瞻而再贬之。温璋临仰药而叹曰：“生不逢时，死何足惜。”呜呼！生不逢时，而林泉可以养志，上有耽欲无人理之君，下有黩货无人心之相，以项领试之，愤不自惜，将弗过乎？故传春秋者，以泄冶不去而谏死，为不合于默语死生之道。则此数子者，其不免于讥矣。抑考春秋书杀大夫泄冶于前，而记陈灵公身弑国亡于后。比事以观，则圣人以大夫泄冶之死，为陈存亡之本，固未尝以责备贤者之例责冶也。</w:t>
      </w:r>
    </w:p>
    <w:p w14:paraId="43F4D24E">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韩偓、司空图处无可救药之时也，君即唯我之是听，而我固无如之何也，去之可也。蟠叟诸人，君听我而乱犹可治也，亡犹可存也，望望然而去之，匪君是爱，固不可以为心矣。夫泄冶当春秋之世，大夫于诸侯，不纯乎为臣，故礼有不用而去之，去犹可也。四海一王，寰宇士大夫共戴一主，不能南走粤、北走胡，而即其宇内之林泉以偷生，而坐视其败，斯亦不成其丈夫矣。传春秋者，谓非贵戚之卿则去，亦据侯国之有世臣者言耳。后世同姓之支庶，食禄而不与国政，天子所倚为心膂股肱者，皆草茅之士也，将谁诿而可哉？</w:t>
      </w:r>
      <w:r>
        <w:rPr>
          <w:rFonts w:hint="eastAsia" w:ascii="宋体" w:hAnsi="宋体" w:eastAsia="宋体" w:cs="宋体"/>
          <w:caps w:val="0"/>
          <w:color w:val="auto"/>
          <w:sz w:val="21"/>
          <w:szCs w:val="21"/>
          <w:u w:val="wave"/>
          <w:shd w:val="clear" w:fill="FFFFFF"/>
        </w:rPr>
        <w:t>故诸君子之或窜或死而不去以全身也，不系乎君之可谏与否也</w:t>
      </w:r>
      <w:r>
        <w:rPr>
          <w:rFonts w:hint="eastAsia" w:ascii="宋体" w:hAnsi="宋体" w:eastAsia="宋体" w:cs="宋体"/>
          <w:caps w:val="0"/>
          <w:color w:val="auto"/>
          <w:sz w:val="21"/>
          <w:szCs w:val="21"/>
          <w:shd w:val="clear" w:fill="FFFFFF"/>
        </w:rPr>
        <w:t>。</w:t>
      </w:r>
    </w:p>
    <w:p w14:paraId="25AEE425">
      <w:pPr>
        <w:pStyle w:val="5"/>
        <w:keepNext w:val="0"/>
        <w:keepLines w:val="0"/>
        <w:widowControl/>
        <w:suppressLineNumbers w:val="0"/>
        <w:spacing w:after="120" w:afterAutospacing="0" w:line="240" w:lineRule="auto"/>
        <w:ind w:left="0" w:firstLine="420"/>
        <w:jc w:val="righ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（节选自王夫之《读通鉴论》）</w:t>
      </w:r>
    </w:p>
    <w:p w14:paraId="291FECBA">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10.材料中画波浪线的部分有三处需要断句，请用铅笔将答题卡上相应位置的答案标号涂黑，每涂对一处给1分，涂黑超过三处不给分。（3分）</w:t>
      </w:r>
    </w:p>
    <w:p w14:paraId="3E6841D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陈灵公宣A淫于朝B泄冶正谏C而杀之D是与比干E谏F而死同G可谓仁乎</w:t>
      </w:r>
    </w:p>
    <w:p w14:paraId="33FDCBDC">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11.下列对材料中加点的词语及相关内容的解说，不正确的一项是（3分）</w:t>
      </w:r>
    </w:p>
    <w:p w14:paraId="2B55439E">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 正，匡正，与《论语·学而》“就有道而正焉”的“正”用法相同。</w:t>
      </w:r>
    </w:p>
    <w:p w14:paraId="66447687">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 辟，过失，邪僻行为，与后面一句“无自立辟”的“辟”意思不相同。</w:t>
      </w:r>
    </w:p>
    <w:p w14:paraId="7564E2D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 私，偏爱，与《邹忌讽齐王纳谏》“吾妻之美我者，私我也”的“私”意思不相同。</w:t>
      </w:r>
    </w:p>
    <w:p w14:paraId="7C983163">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D.且，连词，表递进关系，与《烛之武退秦师》“且贰于楚也”的“且”用法相同。</w:t>
      </w:r>
    </w:p>
    <w:p w14:paraId="28CEF0B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12.下列对材料有关内容的概述和分析，不正确的一项是（3分）</w:t>
      </w:r>
    </w:p>
    <w:p w14:paraId="69651FEB">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A.孔子认为泄冶以死进谏于国无益，不合乎“仁”的标准，只能体现出泄冶的性情是拘谨耿直的。</w:t>
      </w:r>
    </w:p>
    <w:p w14:paraId="74C9274C">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B.懿宗因同昌公主之死想要将医官灭族，并将温璋贬为振州司马，温璋被迫服毒自杀，死前叹息自己生不逢时。</w:t>
      </w:r>
    </w:p>
    <w:p w14:paraId="18A23BB0">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C.王夫之根据《春秋》中对泄冶之死与陈国亡国的记载顺序，推断圣人是将泄冶之死看作足以影响陈国存亡的根本。</w:t>
      </w:r>
    </w:p>
    <w:p w14:paraId="7457971E">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D.王夫之认为春秋时代的大夫对于诸侯而言不算纯粹意义上的臣子，这也是孔子认为泄冶应该离去的原因。</w:t>
      </w:r>
    </w:p>
    <w:p w14:paraId="129E00E1">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13.把材料中画横线的句子翻译成现代汉语。（8分）</w:t>
      </w:r>
    </w:p>
    <w:p w14:paraId="0DE3138C">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(1)谏之者极言其失，虽不能行，未尝不以为允而矜全之也。（4分）</w:t>
      </w:r>
    </w:p>
    <w:p w14:paraId="1A1D6A6D">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(2)故诸君子之或窜或死而不去以全身也，不系乎君之可谏与否也。（4分）</w:t>
      </w:r>
    </w:p>
    <w:p w14:paraId="01BF9358">
      <w:pPr>
        <w:pStyle w:val="5"/>
        <w:keepNext w:val="0"/>
        <w:keepLines w:val="0"/>
        <w:widowControl/>
        <w:suppressLineNumbers w:val="0"/>
        <w:spacing w:after="120" w:afterAutospacing="0" w:line="240" w:lineRule="auto"/>
        <w:ind w:left="0" w:firstLine="420"/>
        <w:jc w:val="left"/>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14.王夫之认为士大夫在什么情况下应该坚持进谏不离去？请结合材料二简要概括。（3分）</w:t>
      </w:r>
    </w:p>
    <w:p w14:paraId="70BBA26C">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（二）古代诗歌阅读（本题共2小题，9分）</w:t>
      </w:r>
    </w:p>
    <w:p w14:paraId="7453BEE2">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阅读下面这首唐诗，完成15~16题</w:t>
      </w:r>
    </w:p>
    <w:p w14:paraId="03C46439">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寄申州卢拱①使君</w:t>
      </w:r>
    </w:p>
    <w:p w14:paraId="1FA6DB12">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杨巨源</w:t>
      </w:r>
    </w:p>
    <w:p w14:paraId="37732D76">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领郡仍闻总虎貔，致身还是见男儿。</w:t>
      </w:r>
    </w:p>
    <w:p w14:paraId="7024E796">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小船隔水催桃叶②，大鼓当风舞柘枝③。</w:t>
      </w:r>
    </w:p>
    <w:p w14:paraId="18F89061">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酒坐微酣诸客倒，球场慢拨几人随。</w:t>
      </w:r>
    </w:p>
    <w:p w14:paraId="39508D80">
      <w:pPr>
        <w:pStyle w:val="5"/>
        <w:keepNext w:val="0"/>
        <w:keepLines w:val="0"/>
        <w:widowControl/>
        <w:suppressLineNumbers w:val="0"/>
        <w:shd w:val="clear" w:fill="FFFFFF"/>
        <w:spacing w:before="0" w:beforeAutospacing="0" w:after="120" w:afterAutospacing="0" w:line="240" w:lineRule="auto"/>
        <w:ind w:left="0" w:firstLine="420"/>
        <w:jc w:val="center"/>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从来乐事憎诗苦，莫放窗中远岫知。</w:t>
      </w:r>
    </w:p>
    <w:p w14:paraId="0B070DB7">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【注】①卢拱，出身世家大族，擅长律诗，时任申州刺史。②桃叶，晋人玉献之曾作《桃叶歌三首》，后多用“桃叶”指代佳人。③柘枝，唐代健舞名。</w:t>
      </w:r>
    </w:p>
    <w:p w14:paraId="27B6945E">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15.下列对这首诗的理解和赏析，不正确的一项是（3分）</w:t>
      </w:r>
    </w:p>
    <w:p w14:paraId="116BA5DF">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A.首联先以“虎貔”喻兵威，赞颂了卢拱统领军队的威严，又以“致身”表现其忠君报国之志。</w:t>
      </w:r>
    </w:p>
    <w:p w14:paraId="53ED0EDB">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B.颔联借用典故，视听结合，既写出申州山水的明净灵秀，又描摹出宴饮场面的豪迈威武。</w:t>
      </w:r>
    </w:p>
    <w:p w14:paraId="7D7763A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C.“球场慢拨几人随”写球场之趣，“慢拨”刻画出拨球动作的从容，展现卢拱闲适潇洒的风姿。</w:t>
      </w:r>
    </w:p>
    <w:p w14:paraId="03D90026">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D.全诗笔调明快，描绘了丰富多彩的生活场景，展现了唐代士大夫既重功业又尚雅趣的精神风貌。</w:t>
      </w:r>
    </w:p>
    <w:p w14:paraId="3F2563A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16.前人论此诗，认为尾联表达委婉劝谏之意。请结合诗歌内容简要分析。（6分）</w:t>
      </w:r>
    </w:p>
    <w:p w14:paraId="24279883">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 </w:t>
      </w:r>
    </w:p>
    <w:p w14:paraId="727B51F5">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（三）名篇名句默写（本题共1小题，6分）</w:t>
      </w:r>
    </w:p>
    <w:p w14:paraId="3583B336">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17.补写出下列句子中的空缺部分。（6分）</w:t>
      </w:r>
    </w:p>
    <w:p w14:paraId="7F71C52C">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(1)高考临近，小宇同学却因疲惫而懈怠，颜老师借用《谏太宗十思疏》中“</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 xml:space="preserve"> ”两句勉励他要善始善终、坚持到底。</w:t>
      </w:r>
    </w:p>
    <w:p w14:paraId="352945AF">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(2)古人写诗填词，常喜欢使用设问作结，以强化情感的表达，正如李煜在《虞美人》中“</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 xml:space="preserve"> ？</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”两句。</w:t>
      </w:r>
    </w:p>
    <w:p w14:paraId="255C4DF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(3)成老师在课堂上带领同学们学习“诗歌中的叠词妙用”，小文想到有些上下句都运用叠词写景的诗句，比如“</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 xml:space="preserve"> ，</w:t>
      </w:r>
      <w:r>
        <w:rPr>
          <w:rFonts w:hint="eastAsia" w:ascii="宋体" w:hAnsi="宋体" w:eastAsia="宋体" w:cs="宋体"/>
          <w:b w:val="0"/>
          <w:bCs w:val="0"/>
          <w:caps w:val="0"/>
          <w:color w:val="auto"/>
          <w:sz w:val="21"/>
          <w:szCs w:val="21"/>
          <w:u w:val="single"/>
          <w:shd w:val="clear" w:fill="FFFFFF"/>
          <w:lang w:val="en-US" w:eastAsia="zh-CN"/>
        </w:rPr>
        <w:t xml:space="preserve">           </w:t>
      </w:r>
      <w:r>
        <w:rPr>
          <w:rFonts w:hint="eastAsia" w:ascii="宋体" w:hAnsi="宋体" w:eastAsia="宋体" w:cs="宋体"/>
          <w:b w:val="0"/>
          <w:bCs w:val="0"/>
          <w:caps w:val="0"/>
          <w:color w:val="auto"/>
          <w:sz w:val="21"/>
          <w:szCs w:val="21"/>
          <w:shd w:val="clear" w:fill="FFFFFF"/>
        </w:rPr>
        <w:t>”等。</w:t>
      </w:r>
    </w:p>
    <w:p w14:paraId="0B06A497">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三、语言文字运用（本题共5小题，20分）</w:t>
      </w:r>
    </w:p>
    <w:p w14:paraId="320AA277">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阅读下面的文字，完成18~22题。</w:t>
      </w:r>
    </w:p>
    <w:p w14:paraId="5F63618E">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①我从那喧嚣的大都市走来，弃车登城，一下子就像回到了古代社会。戍楼上仿佛军旗猎猎，刁斗声声。极目城郊，平畴绿野，阡陌相连。俯视城内，高脊瓦房鳞次栉比，店铺纵横，摊贩沿街，似闻叫卖之声。闭锁性是封建社会的特点，你沿城墙而行，就会发现这城严实得像一个铁桶。过去一般县城只有四门，</w:t>
      </w:r>
      <w:r>
        <w:rPr>
          <w:rFonts w:hint="eastAsia" w:ascii="宋体" w:hAnsi="宋体" w:eastAsia="宋体" w:cs="宋体"/>
          <w:b w:val="0"/>
          <w:bCs w:val="0"/>
          <w:caps w:val="0"/>
          <w:color w:val="auto"/>
          <w:sz w:val="21"/>
          <w:szCs w:val="21"/>
          <w:u w:val="single"/>
          <w:shd w:val="clear" w:fill="FFFFFF"/>
        </w:rPr>
        <w:t>       甲       </w:t>
      </w:r>
      <w:r>
        <w:rPr>
          <w:rFonts w:hint="eastAsia" w:ascii="宋体" w:hAnsi="宋体" w:eastAsia="宋体" w:cs="宋体"/>
          <w:b w:val="0"/>
          <w:bCs w:val="0"/>
          <w:caps w:val="0"/>
          <w:color w:val="auto"/>
          <w:sz w:val="21"/>
          <w:szCs w:val="21"/>
          <w:shd w:val="clear" w:fill="FFFFFF"/>
        </w:rPr>
        <w:t>。这是因为，当年这里商业已很发达，南来北往的商人，进城出城的农民，终日络绎不绝，因此东西城墙又各增一门。当地人说这城是一只乌龟。你看，南门是头，北门是尾，</w:t>
      </w:r>
      <w:r>
        <w:rPr>
          <w:rFonts w:hint="eastAsia" w:ascii="宋体" w:hAnsi="宋体" w:eastAsia="宋体" w:cs="宋体"/>
          <w:b w:val="0"/>
          <w:bCs w:val="0"/>
          <w:caps w:val="0"/>
          <w:color w:val="auto"/>
          <w:sz w:val="21"/>
          <w:szCs w:val="21"/>
          <w:u w:val="single"/>
          <w:shd w:val="clear" w:fill="FFFFFF"/>
        </w:rPr>
        <w:t>       乙       </w:t>
      </w:r>
      <w:r>
        <w:rPr>
          <w:rFonts w:hint="eastAsia" w:ascii="宋体" w:hAnsi="宋体" w:eastAsia="宋体" w:cs="宋体"/>
          <w:b w:val="0"/>
          <w:bCs w:val="0"/>
          <w:caps w:val="0"/>
          <w:color w:val="auto"/>
          <w:sz w:val="21"/>
          <w:szCs w:val="21"/>
          <w:shd w:val="clear" w:fill="FFFFFF"/>
        </w:rPr>
        <w:t>。说也巧，南门外又恰有一条叫柳根河的擦城而过。从上往下看，这整座城确实像一个正在吸水的乌龟。奇怪的是，每座城门瓮城的内外门本应该是垂直一线的，而唯东北一门却偏偏斜了。门外有条路，蜿蜒如蛇状。当地人说，路去十五里，近处有一寺，寺内有一塔，名麓台塔，那实则是一根木桩，龟的一条腿是系在这桩上的，所以这城门是斜的，不然这龟早跑到河里去了。我们听着都笑了，倒也有点道理。</w:t>
      </w:r>
    </w:p>
    <w:p w14:paraId="5F084E1F">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②下得城墙，细游市井，更见古味。街极窄，仅容一马车，两旁一律为店铺。我随便走进一家布店，这里没有现代商店的玻璃柜台，全是红木柜面，已磨得油光。缘墙小格货架，室内光线有些暗，却浮着一种异样的味道，正是“古香”。街上许多行业的店铺都以“古陶”命名，更见古色。这些房子中还有一种可看的，就是“票号”旧址。票号便是今日的银行。</w:t>
      </w:r>
      <w:r>
        <w:rPr>
          <w:rFonts w:hint="eastAsia" w:ascii="宋体" w:hAnsi="宋体" w:eastAsia="宋体" w:cs="宋体"/>
          <w:b w:val="0"/>
          <w:bCs w:val="0"/>
          <w:caps w:val="0"/>
          <w:color w:val="auto"/>
          <w:sz w:val="21"/>
          <w:szCs w:val="21"/>
          <w:u w:val="single"/>
          <w:shd w:val="clear" w:fill="FFFFFF"/>
        </w:rPr>
        <w:t>据说中国最早的票号是发原于平遥和邻近的太古县，平遥人过去在外经商的极多，赚了钱，要往家里送，很不安全，还要雇保镖，于是便生出这票号，专管兑取银钱。我看了一处叫“日升昌”的票号旧址，五进深院层层有门，严然金库重地，如今是县里一处机关在此办公，不久将滕出来，好专供人考察游览</w:t>
      </w:r>
      <w:r>
        <w:rPr>
          <w:rFonts w:hint="eastAsia" w:ascii="宋体" w:hAnsi="宋体" w:eastAsia="宋体" w:cs="宋体"/>
          <w:b w:val="0"/>
          <w:bCs w:val="0"/>
          <w:caps w:val="0"/>
          <w:color w:val="auto"/>
          <w:sz w:val="21"/>
          <w:szCs w:val="21"/>
          <w:shd w:val="clear" w:fill="FFFFFF"/>
        </w:rPr>
        <w:t>。</w:t>
      </w:r>
    </w:p>
    <w:p w14:paraId="6B5E5685">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③平遥还有两样够得上古的名产：一是牛肉。多少年来，人们用现代的手段分析，易地易法试制，终不得其味，因此至今还是一绝。另一种是漆器，其历史可追溯到唐代，现在还可找到明代的原作。平遥推光漆已名扬海外，出口是不需检验的。</w:t>
      </w:r>
    </w:p>
    <w:p w14:paraId="45B72EDA">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18.材料第②段画波浪线处有三个错别字，请找出并加以改正。（3分）</w:t>
      </w:r>
    </w:p>
    <w:p w14:paraId="749D719C">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 </w:t>
      </w:r>
    </w:p>
    <w:p w14:paraId="1735B7F9">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19.请在文中画横线处补写恰当的语句，使整段文字语意完整连贯，内容贴切，逻辑严密，每处不超过10个字。（4分）</w:t>
      </w:r>
    </w:p>
    <w:p w14:paraId="25AF019C">
      <w:pPr>
        <w:keepNext w:val="0"/>
        <w:keepLines w:val="0"/>
        <w:widowControl/>
        <w:suppressLineNumbers w:val="0"/>
        <w:spacing w:line="240" w:lineRule="auto"/>
        <w:jc w:val="left"/>
        <w:rPr>
          <w:rFonts w:hint="eastAsia" w:ascii="宋体" w:hAnsi="宋体" w:eastAsia="宋体" w:cs="宋体"/>
          <w:color w:val="auto"/>
          <w:sz w:val="21"/>
          <w:szCs w:val="21"/>
        </w:rPr>
      </w:pPr>
    </w:p>
    <w:p w14:paraId="7635662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21.</w:t>
      </w:r>
      <w:r>
        <w:rPr>
          <w:rFonts w:hint="eastAsia" w:ascii="宋体" w:hAnsi="宋体" w:eastAsia="宋体" w:cs="宋体"/>
          <w:b w:val="0"/>
          <w:bCs w:val="0"/>
          <w:caps w:val="0"/>
          <w:color w:val="auto"/>
          <w:sz w:val="21"/>
          <w:szCs w:val="21"/>
          <w:shd w:val="clear" w:fill="FFFFFF"/>
          <w:lang w:val="en-US" w:eastAsia="zh-CN"/>
        </w:rPr>
        <w:t>下</w:t>
      </w:r>
      <w:r>
        <w:rPr>
          <w:rFonts w:hint="eastAsia" w:ascii="宋体" w:hAnsi="宋体" w:eastAsia="宋体" w:cs="宋体"/>
          <w:b w:val="0"/>
          <w:bCs w:val="0"/>
          <w:caps w:val="0"/>
          <w:color w:val="auto"/>
          <w:sz w:val="21"/>
          <w:szCs w:val="21"/>
          <w:shd w:val="clear" w:fill="FFFFFF"/>
        </w:rPr>
        <w:t>图是平遥古城平面示意图，请根据材料内容完善平面图的标记。（4分）</w:t>
      </w:r>
    </w:p>
    <w:p w14:paraId="08737CF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 </w:t>
      </w:r>
      <w:r>
        <w:rPr>
          <w:rFonts w:hint="eastAsia" w:ascii="宋体" w:hAnsi="宋体" w:eastAsia="宋体" w:cs="宋体"/>
          <w:color w:val="auto"/>
          <w:kern w:val="0"/>
          <w:sz w:val="21"/>
          <w:szCs w:val="21"/>
          <w:lang w:val="en-US" w:eastAsia="zh-CN" w:bidi="ar"/>
        </w:rPr>
        <w:drawing>
          <wp:inline distT="0" distB="0" distL="114300" distR="114300">
            <wp:extent cx="2680970" cy="2296160"/>
            <wp:effectExtent l="0" t="0" r="5080" b="889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rcRect r="430" b="7522"/>
                    <a:stretch>
                      <a:fillRect/>
                    </a:stretch>
                  </pic:blipFill>
                  <pic:spPr>
                    <a:xfrm>
                      <a:off x="0" y="0"/>
                      <a:ext cx="2680970" cy="2296160"/>
                    </a:xfrm>
                    <a:prstGeom prst="rect">
                      <a:avLst/>
                    </a:prstGeom>
                    <a:noFill/>
                    <a:ln w="9525">
                      <a:noFill/>
                    </a:ln>
                  </pic:spPr>
                </pic:pic>
              </a:graphicData>
            </a:graphic>
          </wp:inline>
        </w:drawing>
      </w:r>
    </w:p>
    <w:p w14:paraId="163A3E89">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22.如果你担任了国家历史文化名城平遥的旅游推介官，请仿照下面示例的形式，再拟两条推荐语。 （4分）</w:t>
      </w:r>
    </w:p>
    <w:p w14:paraId="7D0B0CCF">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示例：商业历史———票号连接古今</w:t>
      </w:r>
    </w:p>
    <w:p w14:paraId="6A043665">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四、写作 (60分)</w:t>
      </w:r>
    </w:p>
    <w:p w14:paraId="40F0F8B4">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23. 阅读下面的材料，根据要求写作。(60分)</w:t>
      </w:r>
    </w:p>
    <w:p w14:paraId="4E43A93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2025年4月 19日，全球首次“人机共跑”半程马拉松在北京开跑，20支人形机器人参赛队和人类选手共跑半马赛道。有的机器人刚一出发就摔倒，有的“累到头掉”仍然坚持无头奔跑……最终天工 Ultra以2时40分42秒的成绩获得赛队冠军，而目前人类半马的最好成绩是56分42秒。</w:t>
      </w:r>
    </w:p>
    <w:p w14:paraId="098DEC90">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这场赛事引发热议，有人对科技献丑嘲讽观望，有人对人机共存深思期待……</w:t>
      </w:r>
    </w:p>
    <w:p w14:paraId="57BD6ADF">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以上材料引发了你怎样的联想与思考？请写一篇文章。</w:t>
      </w:r>
    </w:p>
    <w:p w14:paraId="4489CD48">
      <w:pPr>
        <w:pStyle w:val="5"/>
        <w:keepNext w:val="0"/>
        <w:keepLines w:val="0"/>
        <w:widowControl/>
        <w:suppressLineNumbers w:val="0"/>
        <w:shd w:val="clear" w:fill="FFFFFF"/>
        <w:spacing w:before="0" w:beforeAutospacing="0" w:after="120" w:afterAutospacing="0" w:line="240" w:lineRule="auto"/>
        <w:ind w:left="0" w:firstLine="42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要求：选准角度，确定立意，明确文体，自拟标题；不要套作，不得抄袭；不得泄露个人信息；不少于800字。</w:t>
      </w:r>
    </w:p>
    <w:p w14:paraId="66A90CA6">
      <w:pPr>
        <w:pStyle w:val="5"/>
        <w:keepNext w:val="0"/>
        <w:keepLines w:val="0"/>
        <w:widowControl/>
        <w:suppressLineNumbers w:val="0"/>
        <w:spacing w:after="120" w:afterAutospacing="0" w:line="240" w:lineRule="auto"/>
        <w:ind w:left="0" w:firstLine="420"/>
        <w:jc w:val="center"/>
        <w:rPr>
          <w:rFonts w:hint="eastAsia" w:ascii="宋体" w:hAnsi="宋体" w:eastAsia="宋体" w:cs="宋体"/>
          <w:color w:val="auto"/>
          <w:sz w:val="21"/>
          <w:szCs w:val="21"/>
        </w:rPr>
      </w:pPr>
      <w:bookmarkStart w:id="0" w:name="_GoBack"/>
      <w:r>
        <w:rPr>
          <w:rFonts w:hint="eastAsia" w:ascii="宋体" w:hAnsi="宋体" w:eastAsia="宋体" w:cs="宋体"/>
          <w:b/>
          <w:bCs/>
          <w:caps w:val="0"/>
          <w:color w:val="auto"/>
          <w:sz w:val="21"/>
          <w:szCs w:val="21"/>
          <w:shd w:val="clear" w:fill="FFFFFF"/>
        </w:rPr>
        <w:t>参考答案</w:t>
      </w:r>
    </w:p>
    <w:p w14:paraId="737CCEAC">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1．D      2．A      3．D</w:t>
      </w:r>
    </w:p>
    <w:p w14:paraId="7CBD7E09">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4．①首先明确观点，开展社会调查是</w:t>
      </w:r>
      <w:bookmarkEnd w:id="0"/>
      <w:r>
        <w:rPr>
          <w:rFonts w:hint="eastAsia" w:ascii="宋体" w:hAnsi="宋体" w:eastAsia="宋体" w:cs="宋体"/>
          <w:caps w:val="0"/>
          <w:color w:val="auto"/>
          <w:sz w:val="21"/>
          <w:szCs w:val="21"/>
          <w:shd w:val="clear" w:fill="FFFFFF"/>
        </w:rPr>
        <w:t>认识社会的一个重要方法；</w:t>
      </w:r>
    </w:p>
    <w:p w14:paraId="5D58312F">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②其次阐述田野调查这一概念在社会学领域的变化过程；</w:t>
      </w:r>
    </w:p>
    <w:p w14:paraId="248F2C33">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③然后强调田野调查时研究者应具有“温情与敬意”的心态；</w:t>
      </w:r>
    </w:p>
    <w:p w14:paraId="11BD24D8">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④最后分析田野调查在互联网时代认识自我和社会的重要价值。（共4分。每点1分）</w:t>
      </w:r>
    </w:p>
    <w:p w14:paraId="00E84A20">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5．①走进实际的田野现场，认识真实的社会；</w:t>
      </w:r>
    </w:p>
    <w:p w14:paraId="2D30B596">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②既要研究中国社会的“生态”层面，也要深入研究中国社会的“心态”领域，找出问题的本质；</w:t>
      </w:r>
    </w:p>
    <w:p w14:paraId="1617A7C1">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③以“敬意和温情”的心态进入田野，使研究更深刻、更科学。（共6分。每点2分）</w:t>
      </w:r>
    </w:p>
    <w:p w14:paraId="6F27996C">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6．B 7．B</w:t>
      </w:r>
    </w:p>
    <w:p w14:paraId="5028D4A8">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8．①解除百姓苦难的新道理；②诗歌创作的新内容、新风格；③垂暮之年遇到的新人新事；④充满力量和希望的新精神面貌。（共4分。每点1分）</w:t>
      </w:r>
    </w:p>
    <w:p w14:paraId="5E0A2F94">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9．示例一：可以删去。</w:t>
      </w:r>
    </w:p>
    <w:p w14:paraId="088AD85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①删去后杜甫振奋与乐观的形象更鲜明；</w:t>
      </w:r>
    </w:p>
    <w:p w14:paraId="12BE29D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②删去后情节更集中，避免了死亡的结局与前文情节的割裂；</w:t>
      </w:r>
    </w:p>
    <w:p w14:paraId="6E1F1B54">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③删去后杜甫在与民众交往中发生思想转变的主旨更明确；</w:t>
      </w:r>
    </w:p>
    <w:p w14:paraId="35D3A8E1">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④删去后小说的整体基调更明朗。</w:t>
      </w:r>
    </w:p>
    <w:p w14:paraId="488ADBB1">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示例二：不可以删去。</w:t>
      </w:r>
    </w:p>
    <w:p w14:paraId="583B0D76">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①交代了人物结局，凸显了人物形象的悲剧色彩；</w:t>
      </w:r>
    </w:p>
    <w:p w14:paraId="0D43B3D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②结尾与前文杜甫年老多病、苏涣自述失败等情节照应，叙事完整。</w:t>
      </w:r>
    </w:p>
    <w:p w14:paraId="78892B08">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③结尾杜甫病逝，苏涣被杀，增强了对黑暗现实的批判性。</w:t>
      </w:r>
    </w:p>
    <w:p w14:paraId="72DFAA0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④结尾与前文的基调形成反差，使文本更具张力。</w:t>
      </w:r>
    </w:p>
    <w:p w14:paraId="361DF6AA">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（共6分。每点2分，答对3点即可。其他答案言之有理亦可给分）</w:t>
      </w:r>
    </w:p>
    <w:p w14:paraId="23FC072E">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10．BDG      11．C      12．D</w:t>
      </w:r>
    </w:p>
    <w:p w14:paraId="05B7F2FB">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13．（1）劝谏的人极力陈述他们的过失，穆宗、敬宗虽然不能施行谏言，未尝不认为他们的话是公允的并且会顾惜保全他们。（补足主语，1分；允，公允，1分；矜全，顾惜保全，1分；句意通顺1分。）</w:t>
      </w:r>
    </w:p>
    <w:p w14:paraId="292C5598">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（2）所以诸位君子有的被流放有的身死，却不能离开来保全自身，与君主是否能接受进谏并没有关系。（窜，放逐，流放，1分；系，关系，关联，1分；不系乎君之可谏与否，状语后置句，1分；句意通顺1分。）</w:t>
      </w:r>
    </w:p>
    <w:p w14:paraId="77507342">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14．①天下的混乱尚可平息，危亡尚可挽救；②天下共主；③君主的心腹之人皆为平民。（共3分。每点1分）</w:t>
      </w:r>
    </w:p>
    <w:p w14:paraId="0C132875">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15．B</w:t>
      </w:r>
    </w:p>
    <w:p w14:paraId="3294584A">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16．①先以“乐事憎诗苦”劝友人不要耽于享乐，要坚持诗歌创作。</w:t>
      </w:r>
    </w:p>
    <w:p w14:paraId="4C563A4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②再以“莫放窗中远岫知”看似调侃的语气中暗含对友人沉溺安逸的隐忧。</w:t>
      </w:r>
    </w:p>
    <w:p w14:paraId="5DF5B555">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③尾联内容与前三联的欢乐场景形成反差，强化了对友人的委婉劝诫之意。</w:t>
      </w:r>
    </w:p>
    <w:p w14:paraId="1FD61335">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（共6分。每点3分，答对2点即可，其他答案言之有理亦可酌情给分）</w:t>
      </w:r>
    </w:p>
    <w:p w14:paraId="5F5D5643">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17．（1）有善始者实繁，能克终者盖寡。 （2）问君能有几多愁？恰似一江春水向东流。</w:t>
      </w:r>
    </w:p>
    <w:p w14:paraId="3087AD38">
      <w:pPr>
        <w:pStyle w:val="5"/>
        <w:keepNext w:val="0"/>
        <w:keepLines w:val="0"/>
        <w:widowControl/>
        <w:suppressLineNumbers w:val="0"/>
        <w:spacing w:before="0" w:beforeAutospacing="0" w:after="120" w:afterAutospacing="0" w:line="240" w:lineRule="auto"/>
        <w:ind w:left="0" w:firstLine="200"/>
        <w:jc w:val="both"/>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（3）云青青兮欲雨，水澹澹兮生烟。 / 暧暧远人村，依依墟里烟。 / 无边落木萧萧下，不尽长江滚滚来。……（共6分。每空1分）</w:t>
      </w:r>
    </w:p>
    <w:p w14:paraId="13355DD8">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18．“原”改为“源”“严”改为“俨”“滕”改为“腾” （共3分。每点1分，只找出不改正不得分）</w:t>
      </w:r>
    </w:p>
    <w:p w14:paraId="7FE08B9E">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19．甲：平遥城却有六门 乙：东西四门是四条腿（共4分。每点2分）</w:t>
      </w:r>
    </w:p>
    <w:p w14:paraId="269872B7">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20．"极"突出街道狭窄程度，"仅"强化空间逼仄感，"一律"展现建筑格局的整齐划一，连用三个程度副词，强调古城街道的典型特点。(共5分。三个单字效果各1分，总的效果2分，意思对即可)</w:t>
      </w:r>
    </w:p>
    <w:p w14:paraId="35CF09DD">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21．a:南门 b：北门c：柳根河 d：麓台塔 （共4分。每点1分）</w:t>
      </w:r>
    </w:p>
    <w:p w14:paraId="38CE235F">
      <w:pPr>
        <w:pStyle w:val="5"/>
        <w:keepNext w:val="0"/>
        <w:keepLines w:val="0"/>
        <w:widowControl/>
        <w:suppressLineNumbers w:val="0"/>
        <w:spacing w:after="120" w:afterAutospacing="0" w:line="240" w:lineRule="auto"/>
        <w:ind w:left="0" w:firstLine="420"/>
        <w:rPr>
          <w:rFonts w:hint="eastAsia" w:ascii="宋体" w:hAnsi="宋体" w:eastAsia="宋体" w:cs="宋体"/>
          <w:color w:val="auto"/>
          <w:sz w:val="21"/>
          <w:szCs w:val="21"/>
        </w:rPr>
      </w:pPr>
      <w:r>
        <w:rPr>
          <w:rFonts w:hint="eastAsia" w:ascii="宋体" w:hAnsi="宋体" w:eastAsia="宋体" w:cs="宋体"/>
          <w:caps w:val="0"/>
          <w:color w:val="auto"/>
          <w:sz w:val="21"/>
          <w:szCs w:val="21"/>
          <w:shd w:val="clear" w:fill="FFFFFF"/>
        </w:rPr>
        <w:t>22．城墙布局——龟形趣味横生；市井街道——店铺古色古香；传统工艺——牛肉</w:t>
      </w:r>
      <w:r>
        <w:rPr>
          <w:rFonts w:hint="eastAsia" w:ascii="宋体" w:hAnsi="宋体" w:eastAsia="宋体" w:cs="宋体"/>
          <w:caps w:val="0"/>
          <w:color w:val="auto"/>
          <w:sz w:val="21"/>
          <w:szCs w:val="21"/>
        </w:rPr>
        <w:t>漆器扬名</w:t>
      </w:r>
      <w:r>
        <w:rPr>
          <w:rFonts w:hint="eastAsia" w:ascii="宋体" w:hAnsi="宋体" w:eastAsia="宋体" w:cs="宋体"/>
          <w:caps w:val="0"/>
          <w:color w:val="auto"/>
          <w:sz w:val="21"/>
          <w:szCs w:val="21"/>
          <w:shd w:val="clear" w:fill="FFFFFF"/>
        </w:rPr>
        <w:t>（共4分。每点2分）</w:t>
      </w:r>
    </w:p>
    <w:p w14:paraId="5DD0B8B7">
      <w:pPr>
        <w:pStyle w:val="5"/>
        <w:keepNext w:val="0"/>
        <w:keepLines w:val="0"/>
        <w:widowControl/>
        <w:suppressLineNumbers w:val="0"/>
        <w:shd w:val="clear" w:fill="FFFFFF"/>
        <w:spacing w:before="0" w:beforeAutospacing="0" w:after="120" w:afterAutospacing="0" w:line="240" w:lineRule="auto"/>
        <w:ind w:left="0" w:firstLine="200"/>
        <w:jc w:val="left"/>
        <w:rPr>
          <w:rFonts w:hint="eastAsia" w:ascii="宋体" w:hAnsi="宋体" w:eastAsia="宋体" w:cs="宋体"/>
          <w:b w:val="0"/>
          <w:bCs w:val="0"/>
          <w:color w:val="auto"/>
          <w:sz w:val="21"/>
          <w:szCs w:val="21"/>
        </w:rPr>
      </w:pPr>
      <w:r>
        <w:rPr>
          <w:rFonts w:hint="eastAsia" w:ascii="宋体" w:hAnsi="宋体" w:eastAsia="宋体" w:cs="宋体"/>
          <w:b w:val="0"/>
          <w:bCs w:val="0"/>
          <w:caps w:val="0"/>
          <w:color w:val="auto"/>
          <w:sz w:val="21"/>
          <w:szCs w:val="21"/>
          <w:shd w:val="clear" w:fill="FFFFFF"/>
        </w:rPr>
        <w:t>23.略。</w:t>
      </w:r>
    </w:p>
    <w:p w14:paraId="781BF547">
      <w:pPr>
        <w:spacing w:line="240" w:lineRule="auto"/>
        <w:rPr>
          <w:rFonts w:hint="eastAsia" w:ascii="宋体" w:hAnsi="宋体" w:eastAsia="宋体" w:cs="宋体"/>
          <w:color w:val="auto"/>
          <w:sz w:val="21"/>
          <w:szCs w:val="21"/>
          <w:lang w:val="en-US" w:eastAsia="zh-CN"/>
        </w:rPr>
      </w:pPr>
    </w:p>
    <w:sectPr>
      <w:pgSz w:w="11906" w:h="16838"/>
      <w:pgMar w:top="91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roman"/>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ulTrailSpace/>
    <w:doNotExpandShiftReturn/>
    <w:doNotWrapTextWithPunct/>
    <w:doNotUseEastAsianBreakRules/>
    <w:useFELayout/>
    <w:compatSetting w:name="compatibilityMode" w:uri="http://schemas.microsoft.com/office/word" w:val="14"/>
  </w:compat>
  <w:rsids>
    <w:rsidRoot w:val="00563C8D"/>
    <w:rsid w:val="0000579B"/>
    <w:rsid w:val="001C619D"/>
    <w:rsid w:val="002A71BE"/>
    <w:rsid w:val="00563C8D"/>
    <w:rsid w:val="005F4C63"/>
    <w:rsid w:val="00691B35"/>
    <w:rsid w:val="007B5170"/>
    <w:rsid w:val="00BD42F6"/>
    <w:rsid w:val="00BE69D3"/>
    <w:rsid w:val="00CB0946"/>
    <w:rsid w:val="00DC3CF4"/>
    <w:rsid w:val="00EF5025"/>
    <w:rsid w:val="0C892520"/>
    <w:rsid w:val="168839C9"/>
    <w:rsid w:val="1EE07337"/>
    <w:rsid w:val="2270048D"/>
    <w:rsid w:val="334409AC"/>
    <w:rsid w:val="38007070"/>
    <w:rsid w:val="3E0A2E58"/>
    <w:rsid w:val="44D84400"/>
    <w:rsid w:val="53844015"/>
    <w:rsid w:val="65C91105"/>
    <w:rsid w:val="69F67419"/>
    <w:rsid w:val="6B500E9D"/>
    <w:rsid w:val="7B413A21"/>
    <w:rsid w:val="7BDE18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semiHidden/>
    <w:unhideWhenUsed/>
    <w:uiPriority w:val="99"/>
    <w:pPr>
      <w:tabs>
        <w:tab w:val="center" w:pos="4153"/>
        <w:tab w:val="right" w:pos="8306"/>
      </w:tabs>
      <w:snapToGrid w:val="0"/>
    </w:pPr>
    <w:rPr>
      <w:szCs w:val="18"/>
    </w:rPr>
  </w:style>
  <w:style w:type="paragraph" w:styleId="4">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Emphasis"/>
    <w:basedOn w:val="8"/>
    <w:qFormat/>
    <w:uiPriority w:val="20"/>
    <w:rPr>
      <w:i/>
    </w:rPr>
  </w:style>
  <w:style w:type="character" w:styleId="10">
    <w:name w:val="Hyperlink"/>
    <w:basedOn w:val="8"/>
    <w:semiHidden/>
    <w:unhideWhenUsed/>
    <w:qFormat/>
    <w:uiPriority w:val="99"/>
    <w:rPr>
      <w:color w:val="0000FF"/>
      <w:u w:val="single"/>
    </w:rPr>
  </w:style>
  <w:style w:type="paragraph" w:customStyle="1" w:styleId="11">
    <w:name w:val="subTitleStyle"/>
    <w:basedOn w:val="1"/>
    <w:qFormat/>
    <w:uiPriority w:val="0"/>
    <w:rPr>
      <w:b/>
      <w:color w:val="000000"/>
      <w:sz w:val="32"/>
    </w:rPr>
  </w:style>
  <w:style w:type="paragraph" w:customStyle="1" w:styleId="12">
    <w:name w:val="Normal_c6c59846-0bbb-4728-8601-1c807384ef3c"/>
    <w:qFormat/>
    <w:uiPriority w:val="0"/>
    <w:rPr>
      <w:rFonts w:ascii="Times New Roman" w:hAnsi="Times New Roman" w:eastAsia="Times New Roman" w:cstheme="minorBidi"/>
      <w:sz w:val="24"/>
      <w:szCs w:val="24"/>
      <w:lang w:val="en-US" w:eastAsia="uk-UA" w:bidi="ar-SA"/>
    </w:rPr>
  </w:style>
  <w:style w:type="paragraph" w:customStyle="1" w:styleId="13">
    <w:name w:val="paraStyle"/>
    <w:basedOn w:val="1"/>
    <w:qFormat/>
    <w:uiPriority w:val="0"/>
    <w:rPr>
      <w:b/>
      <w:sz w:val="21"/>
    </w:rPr>
  </w:style>
  <w:style w:type="paragraph" w:customStyle="1" w:styleId="14">
    <w:name w:val="subTitleStyle_7b82f51f-67ec-48da-878d-83c9fda6a80d"/>
    <w:basedOn w:val="12"/>
    <w:qFormat/>
    <w:uiPriority w:val="0"/>
    <w:rPr>
      <w:rFonts w:ascii="宋体" w:hAnsi="宋体" w:eastAsia="宋体" w:cs="宋体"/>
      <w:b/>
      <w:color w:val="000000"/>
      <w:sz w:val="32"/>
    </w:rPr>
  </w:style>
  <w:style w:type="paragraph" w:customStyle="1" w:styleId="15">
    <w:name w:val="Normal_23f9dee6-30b1-4d59-82d8-d2eedd64cdd0"/>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11</Pages>
  <Words>10278</Words>
  <Characters>10440</Characters>
  <Lines>83</Lines>
  <Paragraphs>23</Paragraphs>
  <TotalTime>47</TotalTime>
  <ScaleCrop>false</ScaleCrop>
  <LinksUpToDate>false</LinksUpToDate>
  <CharactersWithSpaces>10583</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2025-05-19T01:27:00Z</dcterms:created>
  <dc:creator>何京应</dc:creator>
  <cp:lastModifiedBy>何京应</cp:lastModifiedBy>
  <dcterms:modified xsi:type="dcterms:W3CDTF">2025-05-27T01:40:47Z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eyJoZGlkIjoiMmQyOWI4MTA5ZjUxOTVhZDRlNGViNjg4YmFkOWNhMjAiLCJ1c2VySWQiOiI3NjQ3NDAxODcifQ==</vt:lpwstr>
  </property>
  <property fmtid="{D5CDD505-2E9C-101B-9397-08002B2CF9AE}" pid="3" name="KSOProductBuildVer">
    <vt:lpwstr>2052-12.1.0.21541</vt:lpwstr>
  </property>
  <property fmtid="{D5CDD505-2E9C-101B-9397-08002B2CF9AE}" pid="4" name="ICV">
    <vt:lpwstr>69FD328888D4432DA64F61AC9F7DFA6B_13</vt:lpwstr>
  </property>
</Properties>
</file>