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AB2FD9">
      <w:pPr>
        <w:jc w:val="center"/>
        <w:textAlignment w:val="center"/>
        <w:rPr>
          <w:rFonts w:ascii="宋体" w:hAnsi="宋体" w:cs="宋体"/>
          <w:b/>
          <w:color w:val="000000"/>
          <w:sz w:val="30"/>
        </w:rPr>
      </w:pPr>
      <w:r>
        <w:drawing>
          <wp:inline distT="0" distB="0" distL="0" distR="0">
            <wp:extent cx="12700" cy="12700"/>
            <wp:effectExtent l="0" t="0" r="0" b="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12700" cy="12700"/>
                    </a:xfrm>
                    <a:prstGeom prst="rect">
                      <a:avLst/>
                    </a:prstGeom>
                  </pic:spPr>
                </pic:pic>
              </a:graphicData>
            </a:graphic>
          </wp:inline>
        </w:drawing>
      </w:r>
      <w:r>
        <w:rPr>
          <w:rFonts w:ascii="宋体" w:hAnsi="宋体" w:cs="宋体"/>
          <w:b/>
          <w:color w:val="000000"/>
          <w:sz w:val="30"/>
        </w:rPr>
        <w:t>2025届四川省内江市高三下学期4月三模</w:t>
      </w:r>
    </w:p>
    <w:p w14:paraId="03FF8F0E">
      <w:pPr>
        <w:jc w:val="center"/>
        <w:textAlignment w:val="center"/>
        <w:rPr>
          <w:rFonts w:ascii="宋体" w:hAnsi="宋体" w:cs="宋体"/>
          <w:b/>
          <w:color w:val="000000"/>
          <w:sz w:val="30"/>
        </w:rPr>
      </w:pPr>
      <w:r>
        <w:rPr>
          <w:rFonts w:ascii="宋体" w:hAnsi="宋体" w:cs="宋体"/>
          <w:b/>
          <w:color w:val="000000"/>
          <w:sz w:val="30"/>
        </w:rPr>
        <w:t>政治试题</w:t>
      </w:r>
    </w:p>
    <w:p w14:paraId="5C268464">
      <w:pPr>
        <w:jc w:val="left"/>
        <w:textAlignment w:val="center"/>
        <w:rPr>
          <w:rFonts w:ascii="宋体" w:hAnsi="宋体" w:cs="宋体"/>
          <w:b/>
          <w:color w:val="000000"/>
        </w:rPr>
      </w:pPr>
      <w:r>
        <w:rPr>
          <w:rFonts w:ascii="宋体" w:hAnsi="宋体" w:cs="宋体"/>
          <w:b/>
          <w:color w:val="000000"/>
        </w:rPr>
        <w:t>一、单选题</w:t>
      </w:r>
    </w:p>
    <w:p w14:paraId="2A2B60CD">
      <w:pPr>
        <w:spacing w:line="360" w:lineRule="auto"/>
        <w:jc w:val="left"/>
        <w:textAlignment w:val="center"/>
      </w:pPr>
      <w:r>
        <w:t>1．2024年是三线建设60周年。三线建设是1964年到1980年，主要在中国中西部13个省区进行的一场以战备为指导思想的大规模国防、科技、工业和交通基本设施建设。在四川省隆昌市山川机械厂三线建设陈列馆，展示了20世纪60年代来自五湖四海的工人、干部、工程技术人员、知识青年投入到三线建设这段波澜壮阔的岁月。下列与该陈列馆展示内容相符合的有（</w:t>
      </w:r>
      <w:r>
        <w:rPr>
          <w:rFonts w:eastAsia="Times New Roman"/>
          <w:kern w:val="0"/>
          <w:sz w:val="24"/>
          <w:szCs w:val="24"/>
        </w:rPr>
        <w:t>       </w:t>
      </w:r>
      <w:r>
        <w:t>）</w:t>
      </w:r>
    </w:p>
    <w:p w14:paraId="35DA4B9C">
      <w:pPr>
        <w:spacing w:line="360" w:lineRule="auto"/>
        <w:jc w:val="left"/>
        <w:textAlignment w:val="center"/>
      </w:pPr>
      <w:r>
        <w:t>①深挖洞广积粮，备战备荒为人民</w:t>
      </w:r>
    </w:p>
    <w:p w14:paraId="1B1198E6">
      <w:pPr>
        <w:spacing w:line="360" w:lineRule="auto"/>
        <w:jc w:val="left"/>
        <w:textAlignment w:val="center"/>
      </w:pPr>
      <w:r>
        <w:t>②最为广泛而深刻的社会变革</w:t>
      </w:r>
    </w:p>
    <w:p w14:paraId="3AB55483">
      <w:pPr>
        <w:spacing w:line="360" w:lineRule="auto"/>
        <w:jc w:val="left"/>
        <w:textAlignment w:val="center"/>
      </w:pPr>
      <w:r>
        <w:t>③新民主主义革命的胜利成果</w:t>
      </w:r>
    </w:p>
    <w:p w14:paraId="31963120">
      <w:pPr>
        <w:spacing w:line="360" w:lineRule="auto"/>
        <w:jc w:val="left"/>
        <w:textAlignment w:val="center"/>
      </w:pPr>
      <w:r>
        <w:t>④国民经济调整并取得逐步发展</w:t>
      </w:r>
    </w:p>
    <w:p w14:paraId="1E217936">
      <w:pPr>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3EA146D3">
      <w:pPr>
        <w:spacing w:line="360" w:lineRule="auto"/>
        <w:jc w:val="left"/>
        <w:textAlignment w:val="center"/>
      </w:pPr>
      <w:r>
        <w:t>2．2024年中央经济工作会议强调，要加快构建新发展格局，贯彻新发展理念，扎实推动高质量发展，不断提高人民生活水平，保持社会和谐稳定。这一决策体现了新时代我国社会主要矛盾的变化，也彰显了中国特色社会主义的发展路径。以下符合材料主旨的是（</w:t>
      </w:r>
      <w:r>
        <w:rPr>
          <w:rFonts w:eastAsia="Times New Roman"/>
          <w:kern w:val="0"/>
          <w:sz w:val="24"/>
          <w:szCs w:val="24"/>
        </w:rPr>
        <w:t>       </w:t>
      </w:r>
      <w:r>
        <w:t>）</w:t>
      </w:r>
    </w:p>
    <w:p w14:paraId="069059F4">
      <w:pPr>
        <w:spacing w:line="360" w:lineRule="auto"/>
        <w:jc w:val="left"/>
        <w:textAlignment w:val="center"/>
      </w:pPr>
      <w:r>
        <w:t>①坚持以习近平新时代中国特色社会主义思想为指导，贯彻新发展理念</w:t>
      </w:r>
    </w:p>
    <w:p w14:paraId="00B6FC56">
      <w:pPr>
        <w:spacing w:line="360" w:lineRule="auto"/>
        <w:jc w:val="left"/>
        <w:textAlignment w:val="center"/>
      </w:pPr>
      <w:r>
        <w:t>②中国特色社会主义道路是实现中国式现代化和民族复兴的必由之路</w:t>
      </w:r>
    </w:p>
    <w:p w14:paraId="256D2E56">
      <w:pPr>
        <w:spacing w:line="360" w:lineRule="auto"/>
        <w:jc w:val="left"/>
        <w:textAlignment w:val="center"/>
      </w:pPr>
      <w:r>
        <w:t>③必须坚持以人民为中心的发展思想，不断实现人民对美好生活的向往</w:t>
      </w:r>
    </w:p>
    <w:p w14:paraId="5FC32F1B">
      <w:pPr>
        <w:spacing w:line="360" w:lineRule="auto"/>
        <w:jc w:val="left"/>
        <w:textAlignment w:val="center"/>
      </w:pPr>
      <w:r>
        <w:t>④实现中华民族伟大复兴的中国梦必须敢于有梦、勇于追梦、勤于圆梦</w:t>
      </w:r>
    </w:p>
    <w:p w14:paraId="774720A7">
      <w:pPr>
        <w:tabs>
          <w:tab w:val="left" w:pos="2078"/>
          <w:tab w:val="left" w:pos="4156"/>
          <w:tab w:val="left" w:pos="6234"/>
        </w:tabs>
        <w:spacing w:line="360" w:lineRule="auto"/>
        <w:ind w:left="300"/>
        <w:jc w:val="left"/>
        <w:textAlignment w:val="center"/>
      </w:pPr>
      <w:r>
        <w:t>A．①③</w:t>
      </w:r>
      <w:r>
        <w:tab/>
      </w:r>
      <w:r>
        <w:t>B．①④</w:t>
      </w:r>
      <w:r>
        <w:tab/>
      </w:r>
      <w:r>
        <w:t>C．②③</w:t>
      </w:r>
      <w:r>
        <w:tab/>
      </w:r>
      <w:r>
        <w:t>D．②④</w:t>
      </w:r>
    </w:p>
    <w:p w14:paraId="197C2F5A">
      <w:pPr>
        <w:spacing w:line="360" w:lineRule="auto"/>
        <w:jc w:val="left"/>
        <w:textAlignment w:val="center"/>
      </w:pPr>
      <w:r>
        <w:t>3．近日，中国汽车工业协会在北京召开信息发布会，通报2025年3月及一季度汽车产销数据及经济运行情况(如下图)。2025年3月，我国汽车产销分别完成300.6万辆和291.5万辆，环比分别增长42.9%和37%,同比分别增长11.9%和8.2%。(图片来源：中国汽车工业协会)。这得益于（</w:t>
      </w:r>
      <w:r>
        <w:rPr>
          <w:rFonts w:eastAsia="Times New Roman"/>
          <w:kern w:val="0"/>
          <w:sz w:val="24"/>
          <w:szCs w:val="24"/>
        </w:rPr>
        <w:t>       </w:t>
      </w:r>
      <w:r>
        <w:t>）</w:t>
      </w:r>
    </w:p>
    <w:p w14:paraId="35069C70">
      <w:pPr>
        <w:spacing w:line="360" w:lineRule="auto"/>
        <w:jc w:val="center"/>
        <w:textAlignment w:val="center"/>
      </w:pPr>
      <w:r>
        <w:rPr>
          <w:rFonts w:eastAsia="Times New Roman"/>
          <w:kern w:val="0"/>
          <w:sz w:val="24"/>
          <w:szCs w:val="24"/>
        </w:rPr>
        <w:drawing>
          <wp:inline distT="0" distB="0" distL="0" distR="0">
            <wp:extent cx="5276215" cy="1600200"/>
            <wp:effectExtent l="0" t="0" r="0" b="0"/>
            <wp:docPr id="100003" name="图片 100003" descr="@@@46a17176839147c7886de9a48ac43f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46a17176839147c7886de9a48ac43fae"/>
                    <pic:cNvPicPr>
                      <a:picLocks noChangeAspect="1"/>
                    </pic:cNvPicPr>
                  </pic:nvPicPr>
                  <pic:blipFill>
                    <a:blip r:embed="rId5"/>
                    <a:stretch>
                      <a:fillRect/>
                    </a:stretch>
                  </pic:blipFill>
                  <pic:spPr>
                    <a:xfrm>
                      <a:off x="0" y="0"/>
                      <a:ext cx="5276800" cy="1600629"/>
                    </a:xfrm>
                    <a:prstGeom prst="rect">
                      <a:avLst/>
                    </a:prstGeom>
                  </pic:spPr>
                </pic:pic>
              </a:graphicData>
            </a:graphic>
          </wp:inline>
        </w:drawing>
      </w:r>
    </w:p>
    <w:p w14:paraId="10AF0930">
      <w:pPr>
        <w:spacing w:line="360" w:lineRule="auto"/>
        <w:jc w:val="left"/>
        <w:textAlignment w:val="center"/>
      </w:pPr>
      <w:r>
        <w:t>①我国经济总体保持扩张，产需两端加快释放</w:t>
      </w:r>
    </w:p>
    <w:p w14:paraId="61DE59AB">
      <w:pPr>
        <w:spacing w:line="360" w:lineRule="auto"/>
        <w:jc w:val="left"/>
        <w:textAlignment w:val="center"/>
      </w:pPr>
      <w:r>
        <w:t>②消费市场潜力巨大，消费档次快速提升</w:t>
      </w:r>
    </w:p>
    <w:p w14:paraId="373FA26C">
      <w:pPr>
        <w:spacing w:line="360" w:lineRule="auto"/>
        <w:jc w:val="left"/>
        <w:textAlignment w:val="center"/>
      </w:pPr>
      <w:r>
        <w:t>③一系列提振汽车消费政策措施得以延续并加速落地</w:t>
      </w:r>
    </w:p>
    <w:p w14:paraId="0C56F10C">
      <w:pPr>
        <w:spacing w:line="360" w:lineRule="auto"/>
        <w:jc w:val="left"/>
        <w:textAlignment w:val="center"/>
      </w:pPr>
      <w:r>
        <w:t>④中国品牌竞争力不断提升，出口迅速增长</w:t>
      </w:r>
    </w:p>
    <w:p w14:paraId="784838AE">
      <w:pPr>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778A0567">
      <w:pPr>
        <w:spacing w:line="360" w:lineRule="auto"/>
        <w:jc w:val="left"/>
        <w:textAlignment w:val="center"/>
      </w:pPr>
      <w:r>
        <w:t>4．我国要实现共同富裕，扩大内需，增强内生动力，就要构建起初次分配、再分配、第三次分配协调配套的制度体系，实现社会公平稳定。从持续优化初次分配格局的角度看，需要（</w:t>
      </w:r>
      <w:r>
        <w:rPr>
          <w:rFonts w:eastAsia="Times New Roman"/>
          <w:kern w:val="0"/>
          <w:sz w:val="24"/>
          <w:szCs w:val="24"/>
        </w:rPr>
        <w:t>       </w:t>
      </w:r>
      <w:r>
        <w:t>）</w:t>
      </w:r>
    </w:p>
    <w:p w14:paraId="4A2A4F28">
      <w:pPr>
        <w:spacing w:line="360" w:lineRule="auto"/>
        <w:jc w:val="left"/>
        <w:textAlignment w:val="center"/>
      </w:pPr>
      <w:r>
        <w:t>①完善社会保障体系，让人民共享发展成果</w:t>
      </w:r>
    </w:p>
    <w:p w14:paraId="0B9EC294">
      <w:pPr>
        <w:spacing w:line="360" w:lineRule="auto"/>
        <w:jc w:val="left"/>
        <w:textAlignment w:val="center"/>
      </w:pPr>
      <w:r>
        <w:t>②加大社会救助力度，保障困难群众基本生活</w:t>
      </w:r>
    </w:p>
    <w:p w14:paraId="485EB52E">
      <w:pPr>
        <w:spacing w:line="360" w:lineRule="auto"/>
        <w:jc w:val="left"/>
        <w:textAlignment w:val="center"/>
      </w:pPr>
      <w:r>
        <w:t>③更大力度稳定和扩大就业，促进充分就业</w:t>
      </w:r>
    </w:p>
    <w:p w14:paraId="4F78FD74">
      <w:pPr>
        <w:spacing w:line="360" w:lineRule="auto"/>
        <w:jc w:val="left"/>
        <w:textAlignment w:val="center"/>
      </w:pPr>
      <w:r>
        <w:t>④加快构建起以技能为导向的薪酬分配制度</w:t>
      </w:r>
    </w:p>
    <w:p w14:paraId="5E7CA4FD">
      <w:pPr>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0F5A7FC3">
      <w:pPr>
        <w:spacing w:line="360" w:lineRule="auto"/>
        <w:jc w:val="left"/>
        <w:textAlignment w:val="center"/>
      </w:pPr>
      <w:r>
        <w:t>5．“名非天造，必从其实”。一年一度的全国“两会”,是我国政治生活中的一件大事，已成为中国发展走势的“指南针”、“风向标”,也是世界了解中国的“窗口”,这主要得益于中国式民主的独特优势。对于中国式民主的独特优势理解正确的是（</w:t>
      </w:r>
      <w:r>
        <w:rPr>
          <w:rFonts w:eastAsia="Times New Roman"/>
          <w:kern w:val="0"/>
          <w:sz w:val="24"/>
          <w:szCs w:val="24"/>
        </w:rPr>
        <w:t>       </w:t>
      </w:r>
      <w:r>
        <w:t>）</w:t>
      </w:r>
    </w:p>
    <w:p w14:paraId="4B8D3DEA">
      <w:pPr>
        <w:spacing w:line="360" w:lineRule="auto"/>
        <w:jc w:val="left"/>
        <w:textAlignment w:val="center"/>
      </w:pPr>
      <w:r>
        <w:t>①人民代表大会制度是我国人民当家作主的最高形式</w:t>
      </w:r>
    </w:p>
    <w:p w14:paraId="15CC153E">
      <w:pPr>
        <w:spacing w:line="360" w:lineRule="auto"/>
        <w:jc w:val="left"/>
        <w:textAlignment w:val="center"/>
      </w:pPr>
      <w:r>
        <w:t>②我国的政党制度是合力实现“整体利益”的政治力量</w:t>
      </w:r>
    </w:p>
    <w:p w14:paraId="1D5D5C58">
      <w:pPr>
        <w:spacing w:line="360" w:lineRule="auto"/>
        <w:jc w:val="left"/>
        <w:textAlignment w:val="center"/>
      </w:pPr>
      <w:r>
        <w:t>③通过基层民主扩大了公民民主权利，协商渠道更畅通</w:t>
      </w:r>
    </w:p>
    <w:p w14:paraId="7A957351">
      <w:pPr>
        <w:spacing w:line="360" w:lineRule="auto"/>
        <w:jc w:val="left"/>
        <w:textAlignment w:val="center"/>
      </w:pPr>
      <w:r>
        <w:t>④我国民主是全过程人民民主，是人人享有的新型民主</w:t>
      </w:r>
    </w:p>
    <w:p w14:paraId="34AAF0DB">
      <w:pPr>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523CD0EE">
      <w:pPr>
        <w:spacing w:line="360" w:lineRule="auto"/>
        <w:jc w:val="left"/>
        <w:textAlignment w:val="center"/>
      </w:pPr>
      <w:r>
        <w:t>6．党中央决定，自2025年两会后至7月，在全党开展深入贯彻中央八项规定精神学习教育。这是巩固深化学习贯彻习近平新时代中国特色社会主义思想、纵深推进全面从严治党的重要举措，是密切联系党群干群关系、巩固党的执政基础的必然要求。其重大意义在于（</w:t>
      </w:r>
      <w:r>
        <w:rPr>
          <w:rFonts w:eastAsia="Times New Roman"/>
          <w:kern w:val="0"/>
          <w:sz w:val="24"/>
          <w:szCs w:val="24"/>
        </w:rPr>
        <w:t>       </w:t>
      </w:r>
      <w:r>
        <w:t>）</w:t>
      </w:r>
    </w:p>
    <w:p w14:paraId="0083B14A">
      <w:pPr>
        <w:spacing w:line="360" w:lineRule="auto"/>
        <w:jc w:val="left"/>
        <w:textAlignment w:val="center"/>
      </w:pPr>
      <w:r>
        <w:t>①办好中国的事情，关键在党，关键在党要管党、从严治党</w:t>
      </w:r>
    </w:p>
    <w:p w14:paraId="7062ADF1">
      <w:pPr>
        <w:spacing w:line="360" w:lineRule="auto"/>
        <w:jc w:val="left"/>
        <w:textAlignment w:val="center"/>
      </w:pPr>
      <w:r>
        <w:t>②坚持党性党风党纪一起抓，同查同治，正风肃纪反腐相贯通</w:t>
      </w:r>
    </w:p>
    <w:p w14:paraId="37D1F9AC">
      <w:pPr>
        <w:spacing w:line="360" w:lineRule="auto"/>
        <w:jc w:val="left"/>
        <w:textAlignment w:val="center"/>
      </w:pPr>
      <w:r>
        <w:t>③重塑党的形象，改善党群干群关系，凝聚党心、民心、军心</w:t>
      </w:r>
    </w:p>
    <w:p w14:paraId="78CDF553">
      <w:pPr>
        <w:spacing w:line="360" w:lineRule="auto"/>
        <w:jc w:val="left"/>
        <w:textAlignment w:val="center"/>
      </w:pPr>
      <w:r>
        <w:t>④作风建设统领党的全面建设，坚定党性，锻造坚强有力的党</w:t>
      </w:r>
    </w:p>
    <w:p w14:paraId="2A3AA051">
      <w:pPr>
        <w:tabs>
          <w:tab w:val="left" w:pos="2078"/>
          <w:tab w:val="left" w:pos="4156"/>
          <w:tab w:val="left" w:pos="6234"/>
        </w:tabs>
        <w:spacing w:line="360" w:lineRule="auto"/>
        <w:ind w:left="300"/>
        <w:jc w:val="left"/>
        <w:textAlignment w:val="center"/>
      </w:pPr>
      <w:r>
        <w:t>A．①②</w:t>
      </w:r>
      <w:r>
        <w:tab/>
      </w:r>
      <w:r>
        <w:t>B．①③</w:t>
      </w:r>
      <w:r>
        <w:tab/>
      </w:r>
      <w:r>
        <w:t>C．②④</w:t>
      </w:r>
      <w:r>
        <w:tab/>
      </w:r>
      <w:r>
        <w:t>D．③④</w:t>
      </w:r>
    </w:p>
    <w:p w14:paraId="385A1D33">
      <w:pPr>
        <w:spacing w:line="360" w:lineRule="auto"/>
        <w:jc w:val="left"/>
        <w:textAlignment w:val="center"/>
      </w:pPr>
      <w:r>
        <w:t>7．“请按标线停车，没有按要求的请立即开走!”某市公安局交警在治理违停车辆时，变“开罚单”为喇叭喊话的方式进行宣传劝导。他们还创新开发了摩托车防酒驾控制系统、推动实施首违免罚、接力纠违等执法方式。释放交通执法“温度”,达到“疏堵结合”。该交警支队的做法（</w:t>
      </w:r>
      <w:r>
        <w:rPr>
          <w:rFonts w:eastAsia="Times New Roman"/>
          <w:kern w:val="0"/>
          <w:sz w:val="24"/>
          <w:szCs w:val="24"/>
        </w:rPr>
        <w:t>       </w:t>
      </w:r>
      <w:r>
        <w:t>）</w:t>
      </w:r>
    </w:p>
    <w:p w14:paraId="23BB8FD3">
      <w:pPr>
        <w:spacing w:line="360" w:lineRule="auto"/>
        <w:jc w:val="left"/>
        <w:textAlignment w:val="center"/>
      </w:pPr>
      <w:r>
        <w:t>①采取交通违规免责的柔性执法措施，恰当行使自由裁量权</w:t>
      </w:r>
    </w:p>
    <w:p w14:paraId="0FC5D043">
      <w:pPr>
        <w:spacing w:line="360" w:lineRule="auto"/>
        <w:jc w:val="left"/>
        <w:textAlignment w:val="center"/>
      </w:pPr>
      <w:r>
        <w:t>②创新政府执法方式，多措并举，织密道路交通监管安全网</w:t>
      </w:r>
    </w:p>
    <w:p w14:paraId="072D63C7">
      <w:pPr>
        <w:spacing w:line="360" w:lineRule="auto"/>
        <w:jc w:val="left"/>
        <w:textAlignment w:val="center"/>
      </w:pPr>
      <w:r>
        <w:t>③坚持民意导向，人性化执法，促进政府规范公正文明执法</w:t>
      </w:r>
    </w:p>
    <w:p w14:paraId="48FB33EC">
      <w:pPr>
        <w:spacing w:line="360" w:lineRule="auto"/>
        <w:jc w:val="left"/>
        <w:textAlignment w:val="center"/>
      </w:pPr>
      <w:r>
        <w:t>④坚持廉洁诚信，宽严相济，推动法治政府服务型政府融合</w:t>
      </w:r>
    </w:p>
    <w:p w14:paraId="17CAE643">
      <w:pPr>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5986CD98">
      <w:pPr>
        <w:spacing w:line="360" w:lineRule="auto"/>
        <w:jc w:val="left"/>
        <w:textAlignment w:val="center"/>
      </w:pPr>
      <w:r>
        <w:t>8．星辰大海的征途上，中国科技正以惊人速度刷新纪录!2024年，九大“国之重器”集体发力：从深空探测到万米地心，从海底深渊到高铁极速，从天问二号即将启程“捕捉”小行星到C919产能翻倍抢占全球市场……每一件重器背后，都是中国科研人员的辛勤付出，都是中国智造的硬核突破。这场科技盛宴说明（</w:t>
      </w:r>
      <w:r>
        <w:rPr>
          <w:rFonts w:eastAsia="Times New Roman"/>
          <w:kern w:val="0"/>
          <w:sz w:val="24"/>
          <w:szCs w:val="24"/>
        </w:rPr>
        <w:t>       </w:t>
      </w:r>
      <w:r>
        <w:t>）</w:t>
      </w:r>
    </w:p>
    <w:p w14:paraId="1F583906">
      <w:pPr>
        <w:spacing w:line="360" w:lineRule="auto"/>
        <w:jc w:val="left"/>
        <w:textAlignment w:val="center"/>
      </w:pPr>
      <w:r>
        <w:t>①科学实践是推动认识发展的重要动力</w:t>
      </w:r>
    </w:p>
    <w:p w14:paraId="5A61AD9C">
      <w:pPr>
        <w:spacing w:line="360" w:lineRule="auto"/>
        <w:jc w:val="left"/>
        <w:textAlignment w:val="center"/>
      </w:pPr>
      <w:r>
        <w:t>②事物是矛盾的普遍性与特殊性的统一</w:t>
      </w:r>
    </w:p>
    <w:p w14:paraId="6E4490AB">
      <w:pPr>
        <w:spacing w:line="360" w:lineRule="auto"/>
        <w:jc w:val="left"/>
        <w:textAlignment w:val="center"/>
      </w:pPr>
      <w:r>
        <w:t>③思维和存在的关系是哲学的基本问题</w:t>
      </w:r>
    </w:p>
    <w:p w14:paraId="2DE17DF1">
      <w:pPr>
        <w:spacing w:line="360" w:lineRule="auto"/>
        <w:jc w:val="left"/>
        <w:textAlignment w:val="center"/>
      </w:pPr>
      <w:r>
        <w:t>④科技是生产方式中最活跃最革命因素</w:t>
      </w:r>
    </w:p>
    <w:p w14:paraId="06DBD7F0">
      <w:pPr>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54E77ACE">
      <w:pPr>
        <w:spacing w:line="360" w:lineRule="auto"/>
        <w:jc w:val="left"/>
        <w:textAlignment w:val="center"/>
      </w:pPr>
      <w:r>
        <w:t>9．明太祖与丞相汪广洋论样瑞：“朕观前代人君，多喜佞谀以饰虚名，甚至臣下诈为瑞应，至于天灾垂戒。如宋真宗初相李沆，日闻灾异犹存警惕，后因天书祥瑞之说，致使言祥瑞者相继于途。朕思凡祥瑞不必奏，灾异即时报。”汪广洋对曰：“陛下敬天勤民，实为万世之谟训”。明太祖与汪广洋关于祥瑞的对话，体现的哲学道理有（</w:t>
      </w:r>
      <w:r>
        <w:rPr>
          <w:rFonts w:eastAsia="Times New Roman"/>
          <w:kern w:val="0"/>
          <w:sz w:val="24"/>
          <w:szCs w:val="24"/>
        </w:rPr>
        <w:t>       </w:t>
      </w:r>
      <w:r>
        <w:t>）</w:t>
      </w:r>
    </w:p>
    <w:p w14:paraId="27DAC0AD">
      <w:pPr>
        <w:spacing w:line="360" w:lineRule="auto"/>
        <w:jc w:val="left"/>
        <w:textAlignment w:val="center"/>
      </w:pPr>
      <w:r>
        <w:t>①尊重事实，在价值选择的基础上作出正确的价值判断</w:t>
      </w:r>
    </w:p>
    <w:p w14:paraId="68B10B59">
      <w:pPr>
        <w:spacing w:line="360" w:lineRule="auto"/>
        <w:jc w:val="left"/>
        <w:textAlignment w:val="center"/>
      </w:pPr>
      <w:r>
        <w:t>②要坚持人民至上，自觉站在最广大人民利益的立场上</w:t>
      </w:r>
    </w:p>
    <w:p w14:paraId="5471A7BC">
      <w:pPr>
        <w:spacing w:line="360" w:lineRule="auto"/>
        <w:jc w:val="left"/>
        <w:textAlignment w:val="center"/>
      </w:pPr>
      <w:r>
        <w:t>③杜会存在决定社会意识，祥瑞观念是一定时代的反映</w:t>
      </w:r>
    </w:p>
    <w:p w14:paraId="5DF0A9EA">
      <w:pPr>
        <w:spacing w:line="360" w:lineRule="auto"/>
        <w:jc w:val="left"/>
        <w:textAlignment w:val="center"/>
      </w:pPr>
      <w:r>
        <w:t>④矛盾双方在一定条件下相互转化，祥瑞可能变为灾祸</w:t>
      </w:r>
    </w:p>
    <w:p w14:paraId="18248A75">
      <w:pPr>
        <w:tabs>
          <w:tab w:val="left" w:pos="2078"/>
          <w:tab w:val="left" w:pos="4156"/>
          <w:tab w:val="left" w:pos="6234"/>
        </w:tabs>
        <w:spacing w:line="360" w:lineRule="auto"/>
        <w:ind w:left="300"/>
        <w:jc w:val="left"/>
        <w:textAlignment w:val="center"/>
      </w:pPr>
      <w:r>
        <w:t>A．①②</w:t>
      </w:r>
      <w:r>
        <w:tab/>
      </w:r>
      <w:r>
        <w:t>B．①④</w:t>
      </w:r>
      <w:r>
        <w:tab/>
      </w:r>
      <w:r>
        <w:t>C．②③</w:t>
      </w:r>
      <w:r>
        <w:tab/>
      </w:r>
      <w:r>
        <w:t>D．③④</w:t>
      </w:r>
    </w:p>
    <w:p w14:paraId="6F50CA8C">
      <w:pPr>
        <w:spacing w:line="360" w:lineRule="auto"/>
        <w:jc w:val="left"/>
        <w:textAlignment w:val="center"/>
      </w:pPr>
      <w:r>
        <w:t>10．在电影《哪吒之魔童闹海》中，侗族大歌宛如一阵清风，为影片注入了别样的民族风情。起源于春秋战国时期跨越2500多年历史的侗族大歌作为重要文化符号被创新性融入现代影视艺术之中。悠扬动听的旋律仿佛带着观众穿越了千年时光。这一创作实践体现了（</w:t>
      </w:r>
      <w:r>
        <w:rPr>
          <w:rFonts w:eastAsia="Times New Roman"/>
          <w:kern w:val="0"/>
          <w:sz w:val="24"/>
          <w:szCs w:val="24"/>
        </w:rPr>
        <w:t>       </w:t>
      </w:r>
      <w:r>
        <w:t>）</w:t>
      </w:r>
    </w:p>
    <w:p w14:paraId="7224DF68">
      <w:pPr>
        <w:spacing w:line="360" w:lineRule="auto"/>
        <w:jc w:val="left"/>
        <w:textAlignment w:val="center"/>
      </w:pPr>
      <w:r>
        <w:t>①认同和利用民族文化元素更能提升文化创造力</w:t>
      </w:r>
    </w:p>
    <w:p w14:paraId="5E462C67">
      <w:pPr>
        <w:spacing w:line="360" w:lineRule="auto"/>
        <w:jc w:val="left"/>
        <w:textAlignment w:val="center"/>
      </w:pPr>
      <w:r>
        <w:t>②坚持文化多样性是发展本民族文化的内在要求</w:t>
      </w:r>
    </w:p>
    <w:p w14:paraId="26230FD6">
      <w:pPr>
        <w:spacing w:line="360" w:lineRule="auto"/>
        <w:jc w:val="left"/>
        <w:textAlignment w:val="center"/>
      </w:pPr>
      <w:r>
        <w:t>③通过设置文化符号和故事背景凸显文化优越性</w:t>
      </w:r>
    </w:p>
    <w:p w14:paraId="4909B315">
      <w:pPr>
        <w:spacing w:line="360" w:lineRule="auto"/>
        <w:jc w:val="left"/>
        <w:textAlignment w:val="center"/>
      </w:pPr>
      <w:r>
        <w:t>④文化创新要始终坚持以人民为中心的创作导向</w:t>
      </w:r>
    </w:p>
    <w:p w14:paraId="79267DC9">
      <w:pPr>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6CBA3007">
      <w:pPr>
        <w:spacing w:line="360" w:lineRule="auto"/>
        <w:jc w:val="left"/>
        <w:textAlignment w:val="center"/>
      </w:pPr>
      <w:r>
        <w:t>11．开放是人类文明进步的重要动力，是世界繁荣发展的必由之路。面对世界范围内保护主义抬头，逆全球化趋势加剧的现实，中国在2018至2024年连续举办世界上唯一以进口为主题的国家级国际进口博览会。这表明进口博览会已经成为（</w:t>
      </w:r>
      <w:r>
        <w:rPr>
          <w:rFonts w:eastAsia="Times New Roman"/>
          <w:kern w:val="0"/>
          <w:sz w:val="24"/>
          <w:szCs w:val="24"/>
        </w:rPr>
        <w:t>      </w:t>
      </w:r>
      <w:r>
        <w:t>）</w:t>
      </w:r>
    </w:p>
    <w:p w14:paraId="323CDA16">
      <w:pPr>
        <w:spacing w:line="360" w:lineRule="auto"/>
        <w:jc w:val="left"/>
        <w:textAlignment w:val="center"/>
      </w:pPr>
      <w:r>
        <w:t>①当今世界经济发展的引擎</w:t>
      </w:r>
    </w:p>
    <w:p w14:paraId="7C163852">
      <w:pPr>
        <w:spacing w:line="360" w:lineRule="auto"/>
        <w:jc w:val="left"/>
        <w:textAlignment w:val="center"/>
      </w:pPr>
      <w:r>
        <w:t>②构建我国新发展格局的主导力量</w:t>
      </w:r>
    </w:p>
    <w:p w14:paraId="795B9DA0">
      <w:pPr>
        <w:spacing w:line="360" w:lineRule="auto"/>
        <w:jc w:val="left"/>
        <w:textAlignment w:val="center"/>
      </w:pPr>
      <w:r>
        <w:t>③全球共享的国际公共产品</w:t>
      </w:r>
    </w:p>
    <w:p w14:paraId="49117B5E">
      <w:pPr>
        <w:spacing w:line="360" w:lineRule="auto"/>
        <w:jc w:val="left"/>
        <w:textAlignment w:val="center"/>
      </w:pPr>
      <w:r>
        <w:t>④我国建设高水平对外开放的平台</w:t>
      </w:r>
    </w:p>
    <w:p w14:paraId="68C93CEB">
      <w:pPr>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14:paraId="0CBE008D">
      <w:pPr>
        <w:spacing w:line="360" w:lineRule="auto"/>
        <w:jc w:val="left"/>
        <w:textAlignment w:val="center"/>
      </w:pPr>
      <w:r>
        <w:t>12．根据韩国总统尹锡悦事件相关信息，下列说法正确的是（</w:t>
      </w:r>
      <w:r>
        <w:rPr>
          <w:rFonts w:eastAsia="Times New Roman"/>
          <w:kern w:val="0"/>
          <w:sz w:val="24"/>
          <w:szCs w:val="24"/>
        </w:rPr>
        <w:t>      </w:t>
      </w:r>
      <w:r>
        <w:t>）</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23"/>
        <w:gridCol w:w="6402"/>
      </w:tblGrid>
      <w:tr w14:paraId="614F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379944B">
            <w:pPr>
              <w:spacing w:line="360" w:lineRule="auto"/>
              <w:jc w:val="center"/>
              <w:textAlignment w:val="center"/>
            </w:pPr>
            <w:r>
              <w:t>时间</w:t>
            </w:r>
          </w:p>
        </w:tc>
        <w:tc>
          <w:tcPr>
            <w:tcW w:w="6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6A0CCE4">
            <w:pPr>
              <w:spacing w:line="360" w:lineRule="auto"/>
              <w:jc w:val="center"/>
              <w:textAlignment w:val="center"/>
            </w:pPr>
            <w:r>
              <w:t>事件</w:t>
            </w:r>
          </w:p>
        </w:tc>
      </w:tr>
      <w:tr w14:paraId="3873A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6929CF5">
            <w:pPr>
              <w:spacing w:line="360" w:lineRule="auto"/>
              <w:jc w:val="center"/>
              <w:textAlignment w:val="center"/>
            </w:pPr>
            <w:r>
              <w:t>2024年12月3日</w:t>
            </w:r>
          </w:p>
        </w:tc>
        <w:tc>
          <w:tcPr>
            <w:tcW w:w="6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B0F09E8">
            <w:pPr>
              <w:spacing w:line="360" w:lineRule="auto"/>
              <w:jc w:val="left"/>
              <w:textAlignment w:val="center"/>
            </w:pPr>
            <w:r>
              <w:t>韩国总统兼政府首脑尹锡悦在国家并未遭遇紧急事态情况下宣布紧急戒严令，派军队封锁国会</w:t>
            </w:r>
          </w:p>
        </w:tc>
      </w:tr>
      <w:tr w14:paraId="5F532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64A75230">
            <w:pPr>
              <w:spacing w:line="360" w:lineRule="auto"/>
              <w:jc w:val="center"/>
              <w:textAlignment w:val="center"/>
            </w:pPr>
            <w:r>
              <w:t>2024年12月14日</w:t>
            </w:r>
          </w:p>
        </w:tc>
        <w:tc>
          <w:tcPr>
            <w:tcW w:w="6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D681029">
            <w:pPr>
              <w:spacing w:line="360" w:lineRule="auto"/>
              <w:jc w:val="left"/>
              <w:textAlignment w:val="center"/>
            </w:pPr>
            <w:r>
              <w:t>韩国国会举行全体会议，对尹锡悦总统弹劾案进行第二次表决并获得通过</w:t>
            </w:r>
          </w:p>
        </w:tc>
      </w:tr>
      <w:tr w14:paraId="4F576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94C174F">
            <w:pPr>
              <w:spacing w:line="360" w:lineRule="auto"/>
              <w:jc w:val="center"/>
              <w:textAlignment w:val="center"/>
            </w:pPr>
            <w:r>
              <w:t>2024年12月27日</w:t>
            </w:r>
          </w:p>
        </w:tc>
        <w:tc>
          <w:tcPr>
            <w:tcW w:w="6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71A2E02">
            <w:pPr>
              <w:spacing w:line="360" w:lineRule="auto"/>
              <w:jc w:val="left"/>
              <w:textAlignment w:val="center"/>
            </w:pPr>
            <w:r>
              <w:t>韩国法院首次开庭审理尹锡悦弹劾案，韩国警方突袭总统尹锡悦的住宅</w:t>
            </w:r>
          </w:p>
        </w:tc>
      </w:tr>
      <w:tr w14:paraId="638C8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192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23297D23">
            <w:pPr>
              <w:spacing w:line="360" w:lineRule="auto"/>
              <w:jc w:val="center"/>
              <w:textAlignment w:val="center"/>
            </w:pPr>
            <w:r>
              <w:t>2025年4月4日</w:t>
            </w:r>
          </w:p>
        </w:tc>
        <w:tc>
          <w:tcPr>
            <w:tcW w:w="63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72BAC7DD">
            <w:pPr>
              <w:spacing w:line="360" w:lineRule="auto"/>
              <w:jc w:val="left"/>
              <w:textAlignment w:val="center"/>
            </w:pPr>
            <w:r>
              <w:t>韩国宪法法院通过尹锡悦弹劾案，尹锡悦即刻被罢免总统职务</w:t>
            </w:r>
          </w:p>
        </w:tc>
      </w:tr>
    </w:tbl>
    <w:p w14:paraId="4CE0CB60">
      <w:pPr>
        <w:spacing w:line="360" w:lineRule="auto"/>
        <w:jc w:val="left"/>
        <w:textAlignment w:val="center"/>
      </w:pPr>
      <w:r>
        <w:t>①韩国实行总统制，司法机构有权弹劾总统</w:t>
      </w:r>
    </w:p>
    <w:p w14:paraId="4DD8CB3F">
      <w:pPr>
        <w:spacing w:line="360" w:lineRule="auto"/>
        <w:jc w:val="left"/>
        <w:textAlignment w:val="center"/>
      </w:pPr>
      <w:r>
        <w:t>②韩国国会对行政权力具有较大的制衡能力</w:t>
      </w:r>
    </w:p>
    <w:p w14:paraId="05C9A422">
      <w:pPr>
        <w:spacing w:line="360" w:lineRule="auto"/>
        <w:jc w:val="left"/>
        <w:textAlignment w:val="center"/>
      </w:pPr>
      <w:r>
        <w:t>③韩国国会掌控着国家权力并主导国家局势</w:t>
      </w:r>
    </w:p>
    <w:p w14:paraId="6665C9D7">
      <w:pPr>
        <w:spacing w:line="360" w:lineRule="auto"/>
        <w:jc w:val="left"/>
        <w:textAlignment w:val="center"/>
      </w:pPr>
      <w:r>
        <w:t>④韩国政体运行强调立法行政司法三权分立</w:t>
      </w:r>
    </w:p>
    <w:p w14:paraId="4FACEEA3">
      <w:pPr>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1687F4EC">
      <w:pPr>
        <w:spacing w:line="360" w:lineRule="auto"/>
        <w:jc w:val="left"/>
        <w:textAlignment w:val="center"/>
      </w:pPr>
      <w:r>
        <w:t>13．法律义务，是指法律关系主体依法承担的某种必须履行的责任。由一定的社会物质生活条件所制约的社会责任，是保证法律所规定的义务人按照权利人要求从事一定行为或不从事一定行为以满足权利人权益的法律手段。下列关于法律义务的理解或表述，正确的有（</w:t>
      </w:r>
      <w:r>
        <w:rPr>
          <w:rFonts w:eastAsia="Times New Roman"/>
          <w:kern w:val="0"/>
          <w:sz w:val="24"/>
          <w:szCs w:val="24"/>
        </w:rPr>
        <w:t>      </w:t>
      </w:r>
      <w:r>
        <w:t>）</w:t>
      </w:r>
    </w:p>
    <w:p w14:paraId="40D2F570">
      <w:pPr>
        <w:spacing w:line="360" w:lineRule="auto"/>
        <w:jc w:val="left"/>
        <w:textAlignment w:val="center"/>
      </w:pPr>
      <w:r>
        <w:t>①法律义务源于现实需要</w:t>
      </w:r>
      <w:r>
        <w:rPr>
          <w:rFonts w:eastAsia="Times New Roman"/>
          <w:kern w:val="0"/>
          <w:sz w:val="24"/>
          <w:szCs w:val="24"/>
        </w:rPr>
        <w:t>             </w:t>
      </w:r>
      <w:r>
        <w:t>②法律义务具有无条件性、永恒性</w:t>
      </w:r>
    </w:p>
    <w:p w14:paraId="3A190298">
      <w:pPr>
        <w:spacing w:line="360" w:lineRule="auto"/>
        <w:jc w:val="left"/>
        <w:textAlignment w:val="center"/>
      </w:pPr>
      <w:r>
        <w:t>③法律义务必须依法设定</w:t>
      </w:r>
      <w:r>
        <w:rPr>
          <w:rFonts w:eastAsia="Times New Roman"/>
          <w:kern w:val="0"/>
          <w:sz w:val="24"/>
          <w:szCs w:val="24"/>
        </w:rPr>
        <w:t>             </w:t>
      </w:r>
      <w:r>
        <w:t>④法律义务需要义务人的自主实施</w:t>
      </w:r>
    </w:p>
    <w:p w14:paraId="6A660BB0">
      <w:pPr>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037D24E4">
      <w:pPr>
        <w:spacing w:line="360" w:lineRule="auto"/>
        <w:jc w:val="left"/>
        <w:textAlignment w:val="center"/>
      </w:pPr>
      <w:r>
        <w:t>14．某村村委会通过协议将村民房屋租给私营企业主叶某使用，并约定5万元定金。随后，叶某通过手机银行转账给该村村委会5万元，并在转账记录上备注为“租房预订金”。村委会出具了“已收到5万元定金”的收条并交给叶某。三周后，叶某以租金太贵为由，将村委会诉至人民法院，要求解除合同，退还5万元“租房预订金”。对此案件评析正确的有（</w:t>
      </w:r>
      <w:r>
        <w:rPr>
          <w:rFonts w:eastAsia="Times New Roman"/>
          <w:kern w:val="0"/>
          <w:sz w:val="24"/>
          <w:szCs w:val="24"/>
        </w:rPr>
        <w:t>      </w:t>
      </w:r>
      <w:r>
        <w:t>）</w:t>
      </w:r>
    </w:p>
    <w:p w14:paraId="659A46BC">
      <w:pPr>
        <w:spacing w:line="360" w:lineRule="auto"/>
        <w:jc w:val="left"/>
        <w:textAlignment w:val="center"/>
      </w:pPr>
      <w:r>
        <w:t>①5万元属于房屋租金预付款，不具有租赁合同的担保属性</w:t>
      </w:r>
    </w:p>
    <w:p w14:paraId="31EDED88">
      <w:pPr>
        <w:spacing w:line="360" w:lineRule="auto"/>
        <w:jc w:val="left"/>
        <w:textAlignment w:val="center"/>
      </w:pPr>
      <w:r>
        <w:t>②叶某违背诚信原则，单方面解除合同，应该承担违约责任</w:t>
      </w:r>
    </w:p>
    <w:p w14:paraId="462EBB1E">
      <w:pPr>
        <w:spacing w:line="360" w:lineRule="auto"/>
        <w:jc w:val="left"/>
        <w:textAlignment w:val="center"/>
      </w:pPr>
      <w:r>
        <w:t>③基于合同约定及实际履行的情况，村委会无需退还5万元</w:t>
      </w:r>
    </w:p>
    <w:p w14:paraId="6298EB2E">
      <w:pPr>
        <w:spacing w:line="360" w:lineRule="auto"/>
        <w:jc w:val="left"/>
        <w:textAlignment w:val="center"/>
      </w:pPr>
      <w:r>
        <w:t>④银行转账备注为“订金”而非“定金”,村委会应退还5万元</w:t>
      </w:r>
    </w:p>
    <w:p w14:paraId="60C61365">
      <w:pPr>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14:paraId="3C7526CF">
      <w:pPr>
        <w:spacing w:line="360" w:lineRule="auto"/>
        <w:jc w:val="left"/>
        <w:textAlignment w:val="center"/>
      </w:pPr>
      <w:r>
        <w:t>15．“春节”在2024年12月4日成功列入联合国教科文组织人类非物质文化遗产代表作名录。为了弘扬春节传统文化，某校开设了剪纸课、灯笼制作、春联书写、绘制年画等美育课程，同学们纷纷参与课程。下列说法符合逻辑的有（</w:t>
      </w:r>
      <w:r>
        <w:rPr>
          <w:rFonts w:eastAsia="Times New Roman"/>
          <w:kern w:val="0"/>
          <w:sz w:val="24"/>
          <w:szCs w:val="24"/>
        </w:rPr>
        <w:t>      </w:t>
      </w:r>
      <w:r>
        <w:t>）</w:t>
      </w:r>
    </w:p>
    <w:p w14:paraId="02E86B27">
      <w:pPr>
        <w:spacing w:line="360" w:lineRule="auto"/>
        <w:jc w:val="left"/>
        <w:textAlignment w:val="center"/>
      </w:pPr>
      <w:r>
        <w:t>①剪纸课、灯笼制作、春联书写、绘制年画课与美育课程是属种关系</w:t>
      </w:r>
    </w:p>
    <w:p w14:paraId="638998E0">
      <w:pPr>
        <w:spacing w:line="360" w:lineRule="auto"/>
        <w:jc w:val="left"/>
        <w:textAlignment w:val="center"/>
      </w:pPr>
      <w:r>
        <w:t>②由“如果张同学报了剪纸课，那么李同学就报了灯笼制作课”为真，能推出“李同学没有报灯笼制作课，那么张同学也没有报剪纸课”为真</w:t>
      </w:r>
    </w:p>
    <w:p w14:paraId="429BC462">
      <w:pPr>
        <w:spacing w:line="360" w:lineRule="auto"/>
        <w:jc w:val="left"/>
        <w:textAlignment w:val="center"/>
      </w:pPr>
      <w:r>
        <w:t>③由“王同学要么报了春联书写课，要么报了绘制年画课”为假，可推出“王同学既报春联书写课，也报绘制年画课”为真</w:t>
      </w:r>
    </w:p>
    <w:p w14:paraId="76C54D92">
      <w:pPr>
        <w:spacing w:line="360" w:lineRule="auto"/>
        <w:jc w:val="left"/>
        <w:textAlignment w:val="center"/>
      </w:pPr>
      <w:r>
        <w:t>④由“有的灯笼制作课的学生不是十班同学”为真，能推出“有的十班同学不是灯笼制作课的学生"为真</w:t>
      </w:r>
    </w:p>
    <w:p w14:paraId="5201C6ED">
      <w:pPr>
        <w:tabs>
          <w:tab w:val="left" w:pos="2078"/>
          <w:tab w:val="left" w:pos="4156"/>
          <w:tab w:val="left" w:pos="6234"/>
        </w:tabs>
        <w:spacing w:line="360" w:lineRule="auto"/>
        <w:ind w:left="380"/>
        <w:jc w:val="left"/>
        <w:textAlignment w:val="center"/>
      </w:pPr>
      <w:r>
        <w:t>A．①③</w:t>
      </w:r>
      <w:r>
        <w:tab/>
      </w:r>
      <w:r>
        <w:t>B．①④</w:t>
      </w:r>
      <w:r>
        <w:tab/>
      </w:r>
      <w:r>
        <w:t>C．②③</w:t>
      </w:r>
      <w:r>
        <w:tab/>
      </w:r>
      <w:r>
        <w:t>D．②④</w:t>
      </w:r>
    </w:p>
    <w:p w14:paraId="7646D44C">
      <w:pPr>
        <w:spacing w:line="360" w:lineRule="auto"/>
        <w:jc w:val="left"/>
        <w:textAlignment w:val="center"/>
      </w:pPr>
      <w:r>
        <w:t>16．新能源汽车作为传统燃油汽车的替代品，因其环保和节能特性逐渐受到全球关注。新能源汽车在20世纪初期逐渐被边缘化，直到20世纪70年代，由于石油危机和环境问题的加剧，新能源汽车才重新进入人们的视野。对新能源汽车的认识（</w:t>
      </w:r>
      <w:r>
        <w:rPr>
          <w:rFonts w:eastAsia="Times New Roman"/>
          <w:kern w:val="0"/>
          <w:sz w:val="24"/>
          <w:szCs w:val="24"/>
        </w:rPr>
        <w:t>      </w:t>
      </w:r>
      <w:r>
        <w:t>）</w:t>
      </w:r>
    </w:p>
    <w:p w14:paraId="4FD06803">
      <w:pPr>
        <w:spacing w:line="360" w:lineRule="auto"/>
        <w:jc w:val="left"/>
        <w:textAlignment w:val="center"/>
      </w:pPr>
      <w:r>
        <w:t>①经历从感性具体到思维抽象的过程</w:t>
      </w:r>
    </w:p>
    <w:p w14:paraId="75235568">
      <w:pPr>
        <w:spacing w:line="360" w:lineRule="auto"/>
        <w:jc w:val="left"/>
        <w:textAlignment w:val="center"/>
      </w:pPr>
      <w:r>
        <w:t>②体现了超前思维的预测性特征</w:t>
      </w:r>
    </w:p>
    <w:p w14:paraId="7F371B28">
      <w:pPr>
        <w:spacing w:line="360" w:lineRule="auto"/>
        <w:jc w:val="left"/>
        <w:textAlignment w:val="center"/>
      </w:pPr>
      <w:r>
        <w:t>③经历了一个否定之否定的认识过程</w:t>
      </w:r>
    </w:p>
    <w:p w14:paraId="3BE1FC6C">
      <w:pPr>
        <w:spacing w:line="360" w:lineRule="auto"/>
        <w:jc w:val="left"/>
        <w:textAlignment w:val="center"/>
      </w:pPr>
      <w:r>
        <w:t>④体观了辩证思维的动态性特征</w:t>
      </w:r>
    </w:p>
    <w:p w14:paraId="3AF4080E">
      <w:pPr>
        <w:tabs>
          <w:tab w:val="left" w:pos="2078"/>
          <w:tab w:val="left" w:pos="4156"/>
          <w:tab w:val="left" w:pos="6234"/>
        </w:tabs>
        <w:spacing w:line="360" w:lineRule="auto"/>
        <w:ind w:left="380"/>
        <w:jc w:val="left"/>
        <w:textAlignment w:val="center"/>
      </w:pPr>
      <w:r>
        <w:t>A．①②</w:t>
      </w:r>
      <w:r>
        <w:tab/>
      </w:r>
      <w:r>
        <w:t>B．①④</w:t>
      </w:r>
      <w:r>
        <w:tab/>
      </w:r>
      <w:r>
        <w:t>C．②③</w:t>
      </w:r>
      <w:r>
        <w:tab/>
      </w:r>
      <w:r>
        <w:t>D．③④</w:t>
      </w:r>
    </w:p>
    <w:p w14:paraId="608075BD">
      <w:pPr>
        <w:jc w:val="center"/>
        <w:textAlignment w:val="center"/>
        <w:rPr>
          <w:rFonts w:ascii="黑体" w:hAnsi="黑体" w:eastAsia="黑体" w:cs="黑体"/>
          <w:b/>
          <w:color w:val="000000"/>
          <w:sz w:val="30"/>
        </w:rPr>
      </w:pPr>
    </w:p>
    <w:p w14:paraId="6FE8E437">
      <w:pPr>
        <w:jc w:val="left"/>
        <w:textAlignment w:val="center"/>
        <w:rPr>
          <w:rFonts w:ascii="宋体" w:hAnsi="宋体" w:cs="宋体"/>
          <w:b/>
          <w:color w:val="000000"/>
        </w:rPr>
      </w:pPr>
      <w:r>
        <w:rPr>
          <w:rFonts w:ascii="宋体" w:hAnsi="宋体" w:cs="宋体"/>
          <w:b/>
          <w:color w:val="000000"/>
        </w:rPr>
        <w:t>二、主观题</w:t>
      </w:r>
    </w:p>
    <w:p w14:paraId="35B8AC44">
      <w:pPr>
        <w:spacing w:line="360" w:lineRule="auto"/>
        <w:jc w:val="left"/>
        <w:textAlignment w:val="center"/>
      </w:pPr>
      <w:r>
        <w:t>17．阅读材料，完成下列要求</w:t>
      </w:r>
    </w:p>
    <w:p w14:paraId="2AE3CDF4">
      <w:pPr>
        <w:spacing w:line="360" w:lineRule="auto"/>
        <w:ind w:firstLine="560"/>
        <w:jc w:val="left"/>
        <w:textAlignment w:val="center"/>
      </w:pPr>
      <w:r>
        <w:rPr>
          <w:rFonts w:ascii="楷体" w:hAnsi="楷体" w:eastAsia="楷体" w:cs="楷体"/>
        </w:rPr>
        <w:t>价格是市场经济条件下资源配置效率的</w:t>
      </w:r>
      <w:r>
        <w:t>“</w:t>
      </w:r>
      <w:r>
        <w:rPr>
          <w:rFonts w:ascii="楷体" w:hAnsi="楷体" w:eastAsia="楷体" w:cs="楷体"/>
        </w:rPr>
        <w:t>牛鼻子</w:t>
      </w:r>
      <w:r>
        <w:t>”，</w:t>
      </w:r>
      <w:r>
        <w:rPr>
          <w:rFonts w:ascii="楷体" w:hAnsi="楷体" w:eastAsia="楷体" w:cs="楷体"/>
        </w:rPr>
        <w:t>价格治理是宏观经济治理的重要内容。为进一步深化价格改革，完善价格治理机制，中共中央办公厅、国务院办公厅于2024年12月5日印发《关于完善价格治理机制的意见》。近10年来，按照党中央、国务院决策部署，价格改革纵深推进，取得显著成效，全社会97.5%的商品和服务价格由市场形成，极大优化了资源配置；基本建立了</w:t>
      </w:r>
      <w:r>
        <w:t>“</w:t>
      </w:r>
      <w:r>
        <w:rPr>
          <w:rFonts w:ascii="楷体" w:hAnsi="楷体" w:eastAsia="楷体" w:cs="楷体"/>
        </w:rPr>
        <w:t>准许成本+合理收益</w:t>
      </w:r>
      <w:r>
        <w:t>”</w:t>
      </w:r>
      <w:r>
        <w:rPr>
          <w:rFonts w:ascii="楷体" w:hAnsi="楷体" w:eastAsia="楷体" w:cs="楷体"/>
        </w:rPr>
        <w:t>为核心的政府定价制度，搭建起科学定价的</w:t>
      </w:r>
      <w:r>
        <w:t>“</w:t>
      </w:r>
      <w:r>
        <w:rPr>
          <w:rFonts w:ascii="楷体" w:hAnsi="楷体" w:eastAsia="楷体" w:cs="楷体"/>
        </w:rPr>
        <w:t>四梁八柱</w:t>
      </w:r>
      <w:r>
        <w:t>”；</w:t>
      </w:r>
      <w:r>
        <w:rPr>
          <w:rFonts w:ascii="楷体" w:hAnsi="楷体" w:eastAsia="楷体" w:cs="楷体"/>
        </w:rPr>
        <w:t>全国居民价格指数(CPI)年均涨幅1.6%左右，为经济社会健康发展提供了有力支撑。新时代新征程，为构建高水平社会主义市场经济体制，健全宏观经济治理体系，更好满足人民美好生活需要，需要进一步完善价格治理机制，更好发挥价格信号作用，引导价格总水平和重要商品价格合理运行，做好重要民生商品保供稳价工作。</w:t>
      </w:r>
    </w:p>
    <w:p w14:paraId="30C13996">
      <w:pPr>
        <w:spacing w:line="360" w:lineRule="auto"/>
        <w:jc w:val="left"/>
        <w:textAlignment w:val="center"/>
      </w:pPr>
      <w:r>
        <w:t>结合材料，运用《经济与社会》知识，分析完善价格治理机制的意义。</w:t>
      </w:r>
    </w:p>
    <w:p w14:paraId="7EC85AD4">
      <w:pPr>
        <w:spacing w:line="360" w:lineRule="auto"/>
        <w:jc w:val="left"/>
        <w:textAlignment w:val="center"/>
      </w:pPr>
      <w:r>
        <w:t>18．阅读材料，完成下列要求</w:t>
      </w:r>
    </w:p>
    <w:p w14:paraId="4B04356A">
      <w:pPr>
        <w:spacing w:line="360" w:lineRule="auto"/>
        <w:ind w:firstLine="560"/>
        <w:jc w:val="left"/>
        <w:textAlignment w:val="center"/>
      </w:pPr>
      <w:r>
        <w:rPr>
          <w:rFonts w:ascii="楷体" w:hAnsi="楷体" w:eastAsia="楷体" w:cs="楷体"/>
        </w:rPr>
        <w:t>2024年4月，习近平总书记在重庆考察时指出：“重庆、四川两地要紧密合作，不断提升发展能级，共同唱好新时代西部‘双城记’。”2024年，两地党委、人大、政府、政协协同发力，推出多项新举措：两地党委一体谋划，赋能发展，双向奔赴；两地人大联合发布《成渝双城经济圈协同立法条例》,首次建立跨区域立法协商机制，明确基础设施互联互通、生态环境共保联治等领域的法律框架；两地政府签署《共建世界级先进制造业集群行动计划》,设立100亿元产业协同基金，推动电子信息等六大产业链深度融合，并同步实施“一卡通”便民工程，实现社保、医疗等21项公共服务跨省通办；两地政协联合开展“双城经济圈营商环境优化”专项民主监督，组织200余名政协委员深入企业调研，形成《关于破除行政壁垒的建议案》,推动两地行政审批标准统一化改革。</w:t>
      </w:r>
    </w:p>
    <w:p w14:paraId="374AD621">
      <w:pPr>
        <w:spacing w:line="360" w:lineRule="auto"/>
        <w:jc w:val="left"/>
        <w:textAlignment w:val="center"/>
      </w:pPr>
      <w:r>
        <w:t>结合材料，运用《政治与法治》知识，分析四川、重庆两地如何打造西部高质量发展重要增长极，共同唱好新时代成渝“双城记”。</w:t>
      </w:r>
    </w:p>
    <w:p w14:paraId="29566F17">
      <w:pPr>
        <w:spacing w:line="360" w:lineRule="auto"/>
        <w:jc w:val="left"/>
        <w:textAlignment w:val="center"/>
      </w:pPr>
      <w:r>
        <w:t>19．阅读材料，完成下列要求</w:t>
      </w:r>
    </w:p>
    <w:p w14:paraId="1674D48F">
      <w:pPr>
        <w:spacing w:line="360" w:lineRule="auto"/>
        <w:ind w:firstLine="560"/>
        <w:jc w:val="left"/>
        <w:textAlignment w:val="center"/>
      </w:pPr>
      <w:r>
        <w:rPr>
          <w:rFonts w:ascii="楷体" w:hAnsi="楷体" w:eastAsia="楷体" w:cs="楷体"/>
        </w:rPr>
        <w:t>2025年4月2日，美国总统特朗普签署两项关于所谓“对等关税”的行政令，宣布美国对贸易伙伴设立10%的“最低基准关税”。特朗普表示，美国将计算对美国构成了极大威胁的国家的所有关税、非关税壁垒和其他形式的综合税率。</w:t>
      </w:r>
    </w:p>
    <w:p w14:paraId="6399FF51">
      <w:pPr>
        <w:spacing w:line="360" w:lineRule="auto"/>
        <w:ind w:firstLine="560"/>
        <w:jc w:val="left"/>
        <w:textAlignment w:val="center"/>
      </w:pPr>
      <w:r>
        <w:rPr>
          <w:rFonts w:ascii="楷体" w:hAnsi="楷体" w:eastAsia="楷体" w:cs="楷体"/>
        </w:rPr>
        <w:t>“一带一路”源自中国，成果和机遇属于世界。一批批标志性项目开花结果，托举起发展繁荣的梦想；一项项民生工程落地生根，搭建起沟通心灵的桥梁，凝聚起同心同行的力量。佩列沙茨大桥把隔海相望的克罗地亚领土连接起来极大便利了当地民众出行，也为旅游、物流等行业发展带来新机遇……这些项目拉近了共建“一带一路”国家民众心与心的距离，为他们带来了实实在在的获得感、幸福感。共建“一带一路”,既有基础设施的“硬联通”,也有共建国家人民的“心联通”。</w:t>
      </w:r>
    </w:p>
    <w:p w14:paraId="1A052789">
      <w:pPr>
        <w:spacing w:line="360" w:lineRule="auto"/>
        <w:jc w:val="left"/>
        <w:textAlignment w:val="center"/>
      </w:pPr>
      <w:r>
        <w:t>结合材料，运用《当代国际政治与经济》知识，阐释共建“一带一路”为什么既能实现基础设施的“硬联通”,也能架起世界各国人民“心联通”的桥梁?</w:t>
      </w:r>
    </w:p>
    <w:p w14:paraId="323D704A">
      <w:pPr>
        <w:spacing w:line="360" w:lineRule="auto"/>
        <w:jc w:val="left"/>
        <w:textAlignment w:val="center"/>
      </w:pPr>
      <w:r>
        <w:t>20．阅读材料，完成下列要求</w:t>
      </w:r>
    </w:p>
    <w:p w14:paraId="707253FF">
      <w:pPr>
        <w:spacing w:line="360" w:lineRule="auto"/>
        <w:ind w:firstLine="560"/>
        <w:jc w:val="left"/>
        <w:textAlignment w:val="center"/>
      </w:pPr>
      <w:r>
        <w:rPr>
          <w:rFonts w:ascii="楷体" w:hAnsi="楷体" w:eastAsia="楷体" w:cs="楷体"/>
        </w:rPr>
        <w:t>消费者在网络购物时，通常能看到不少</w:t>
      </w:r>
      <w:r>
        <w:t>“</w:t>
      </w:r>
      <w:r>
        <w:rPr>
          <w:rFonts w:ascii="楷体" w:hAnsi="楷体" w:eastAsia="楷体" w:cs="楷体"/>
        </w:rPr>
        <w:t>剪标</w:t>
      </w:r>
      <w:r>
        <w:t>”“</w:t>
      </w:r>
      <w:r>
        <w:rPr>
          <w:rFonts w:ascii="楷体" w:hAnsi="楷体" w:eastAsia="楷体" w:cs="楷体"/>
        </w:rPr>
        <w:t>去码</w:t>
      </w:r>
      <w:r>
        <w:t>”“</w:t>
      </w:r>
      <w:r>
        <w:rPr>
          <w:rFonts w:ascii="楷体" w:hAnsi="楷体" w:eastAsia="楷体" w:cs="楷体"/>
        </w:rPr>
        <w:t>刮码</w:t>
      </w:r>
      <w:r>
        <w:t>”</w:t>
      </w:r>
      <w:r>
        <w:rPr>
          <w:rFonts w:ascii="楷体" w:hAnsi="楷体" w:eastAsia="楷体" w:cs="楷体"/>
        </w:rPr>
        <w:t>商品，商家宣称作该种处理，是因为厂家不允许该产品进入网购渠道或者控制价格。李某在第30类</w:t>
      </w:r>
      <w:r>
        <w:t>“</w:t>
      </w:r>
      <w:r>
        <w:rPr>
          <w:rFonts w:ascii="楷体" w:hAnsi="楷体" w:eastAsia="楷体" w:cs="楷体"/>
        </w:rPr>
        <w:t>茶</w:t>
      </w:r>
      <w:r>
        <w:t>”</w:t>
      </w:r>
      <w:r>
        <w:rPr>
          <w:rFonts w:ascii="楷体" w:hAnsi="楷体" w:eastAsia="楷体" w:cs="楷体"/>
        </w:rPr>
        <w:t>等商品上拥有</w:t>
      </w:r>
      <w:r>
        <w:t>“</w:t>
      </w:r>
      <w:r>
        <w:rPr>
          <w:rFonts w:ascii="楷体" w:hAnsi="楷体" w:eastAsia="楷体" w:cs="楷体"/>
        </w:rPr>
        <w:t>XX香</w:t>
      </w:r>
      <w:r>
        <w:t>”“</w:t>
      </w:r>
      <w:r>
        <w:rPr>
          <w:rFonts w:ascii="楷体" w:hAnsi="楷体" w:eastAsia="楷体" w:cs="楷体"/>
        </w:rPr>
        <w:t>YY金</w:t>
      </w:r>
      <w:r>
        <w:t>”</w:t>
      </w:r>
      <w:r>
        <w:rPr>
          <w:rFonts w:ascii="楷体" w:hAnsi="楷体" w:eastAsia="楷体" w:cs="楷体"/>
        </w:rPr>
        <w:t>等系列注册商标，茶产品建立产品</w:t>
      </w:r>
      <w:r>
        <w:t>“</w:t>
      </w:r>
      <w:r>
        <w:rPr>
          <w:rFonts w:ascii="楷体" w:hAnsi="楷体" w:eastAsia="楷体" w:cs="楷体"/>
        </w:rPr>
        <w:t>一品一码</w:t>
      </w:r>
      <w:r>
        <w:t>”</w:t>
      </w:r>
      <w:r>
        <w:rPr>
          <w:rFonts w:ascii="楷体" w:hAnsi="楷体" w:eastAsia="楷体" w:cs="楷体"/>
        </w:rPr>
        <w:t>可追溯和防伪系统，能够为经营者李某和消费者提供识别、追溯商品来源以及辨别真伪的便利。王某在其运营网店销售李某</w:t>
      </w:r>
      <w:r>
        <w:t>“</w:t>
      </w:r>
      <w:r>
        <w:rPr>
          <w:rFonts w:ascii="楷体" w:hAnsi="楷体" w:eastAsia="楷体" w:cs="楷体"/>
        </w:rPr>
        <w:t>XX香</w:t>
      </w:r>
      <w:r>
        <w:t>”“</w:t>
      </w:r>
      <w:r>
        <w:rPr>
          <w:rFonts w:ascii="楷体" w:hAnsi="楷体" w:eastAsia="楷体" w:cs="楷体"/>
        </w:rPr>
        <w:t>YY金</w:t>
      </w:r>
      <w:r>
        <w:t>”</w:t>
      </w:r>
      <w:r>
        <w:rPr>
          <w:rFonts w:ascii="楷体" w:hAnsi="楷体" w:eastAsia="楷体" w:cs="楷体"/>
        </w:rPr>
        <w:t>商标白茶商品时，刮掉了在产品上标注的防伪溯源码。李某发现后，遂诉至当地区法院，认为王某侵犯了商标注册权，此行为属于不正当竞争行为，应该赔偿经济损失及合理维权支出。法院认为不构成商标侵权，但构成不正当竞争，判令被告王某赔偿原告李某经济损失及合理维权费用共计15000元。</w:t>
      </w:r>
    </w:p>
    <w:p w14:paraId="381A0997">
      <w:pPr>
        <w:spacing w:line="360" w:lineRule="auto"/>
        <w:jc w:val="left"/>
        <w:textAlignment w:val="center"/>
      </w:pPr>
      <w:r>
        <w:t>结合材料，运用《法律与生活》的知识，评析法院判决的合理性，并说明理由。</w:t>
      </w:r>
    </w:p>
    <w:p w14:paraId="11A4ACCF">
      <w:pPr>
        <w:spacing w:line="360" w:lineRule="auto"/>
        <w:jc w:val="left"/>
        <w:textAlignment w:val="center"/>
      </w:pPr>
      <w:r>
        <w:t>21．阅读材料，完成下列要求</w:t>
      </w:r>
    </w:p>
    <w:p w14:paraId="460A53AA">
      <w:pPr>
        <w:spacing w:line="360" w:lineRule="auto"/>
        <w:ind w:firstLine="560"/>
        <w:jc w:val="left"/>
        <w:textAlignment w:val="center"/>
      </w:pPr>
      <w:r>
        <w:rPr>
          <w:rFonts w:ascii="楷体" w:hAnsi="楷体" w:eastAsia="楷体" w:cs="楷体"/>
        </w:rPr>
        <w:t>材料一</w:t>
      </w:r>
      <w:r>
        <w:rPr>
          <w:rFonts w:eastAsia="Times New Roman"/>
          <w:kern w:val="0"/>
          <w:sz w:val="24"/>
          <w:szCs w:val="24"/>
        </w:rPr>
        <w:t>  </w:t>
      </w:r>
      <w:r>
        <w:rPr>
          <w:rFonts w:ascii="楷体" w:hAnsi="楷体" w:eastAsia="楷体" w:cs="楷体"/>
        </w:rPr>
        <w:t>近年来，VR、AI等新技术的发展为文物修复插上翅膀，让古老技艺在现代社会中焕发光彩，涵养更加深厚的文化自信。2024年，故宫博物院与某科技公司合作，利用AI技术成功修复了明代壁画《千里江山图》的局部褪色区域。AI通过分析画作颜料成分、笔触规律及历史文献，重建了缺失的色彩与线条，极大提升了修复效率。但是，AI也因无法完全模拟古代画师的创作意图，导致部分修复细节引发专家争议。处理好AI技术与文物修复技艺的关系，对AI技术和传统修复技艺的运用提出了新的挑战。</w:t>
      </w:r>
    </w:p>
    <w:p w14:paraId="4EA4316E">
      <w:pPr>
        <w:spacing w:line="360" w:lineRule="auto"/>
        <w:ind w:firstLine="560"/>
        <w:jc w:val="left"/>
        <w:textAlignment w:val="center"/>
      </w:pPr>
      <w:r>
        <w:rPr>
          <w:rFonts w:ascii="楷体" w:hAnsi="楷体" w:eastAsia="楷体" w:cs="楷体"/>
        </w:rPr>
        <w:t>材料二</w:t>
      </w:r>
      <w:r>
        <w:rPr>
          <w:rFonts w:eastAsia="Times New Roman"/>
          <w:kern w:val="0"/>
          <w:sz w:val="24"/>
          <w:szCs w:val="24"/>
        </w:rPr>
        <w:t>  </w:t>
      </w:r>
      <w:r>
        <w:rPr>
          <w:rFonts w:ascii="楷体" w:hAnsi="楷体" w:eastAsia="楷体" w:cs="楷体"/>
        </w:rPr>
        <w:t>四川作为中华文明的重要发源地之一，文物资源璀璨夺目。借助现代科技与创意表达，这些沉睡千年的文物正以全新的方式“活”在当下。以下精选几件代表性文物，带您穿越时空。</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79"/>
        <w:gridCol w:w="6146"/>
      </w:tblGrid>
      <w:tr w14:paraId="21FFA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B1D7B19">
            <w:pPr>
              <w:spacing w:line="360" w:lineRule="auto"/>
              <w:jc w:val="center"/>
              <w:textAlignment w:val="center"/>
            </w:pPr>
            <w:r>
              <w:rPr>
                <w:rFonts w:ascii="楷体" w:hAnsi="楷体" w:eastAsia="楷体" w:cs="楷体"/>
              </w:rPr>
              <w:t>三星堆青铜纵目面具</w:t>
            </w:r>
          </w:p>
        </w:tc>
        <w:tc>
          <w:tcPr>
            <w:tcW w:w="61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350F11EA">
            <w:pPr>
              <w:spacing w:line="360" w:lineRule="auto"/>
              <w:jc w:val="center"/>
              <w:textAlignment w:val="center"/>
            </w:pPr>
            <w:r>
              <w:rPr>
                <w:rFonts w:ascii="楷体" w:hAnsi="楷体" w:eastAsia="楷体" w:cs="楷体"/>
              </w:rPr>
              <w:t>高突眼球、巨型双耳，三星堆最具标志的青铜面具，神秘感扑面而来</w:t>
            </w:r>
          </w:p>
        </w:tc>
      </w:tr>
      <w:tr w14:paraId="55E26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D666EC6">
            <w:pPr>
              <w:spacing w:line="360" w:lineRule="auto"/>
              <w:jc w:val="center"/>
              <w:textAlignment w:val="center"/>
            </w:pPr>
            <w:r>
              <w:rPr>
                <w:rFonts w:ascii="楷体" w:hAnsi="楷体" w:eastAsia="楷体" w:cs="楷体"/>
              </w:rPr>
              <w:t>金沙太阳神鸟金箔</w:t>
            </w:r>
          </w:p>
        </w:tc>
        <w:tc>
          <w:tcPr>
            <w:tcW w:w="61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4D021B06">
            <w:pPr>
              <w:spacing w:line="360" w:lineRule="auto"/>
              <w:jc w:val="center"/>
              <w:textAlignment w:val="center"/>
            </w:pPr>
            <w:r>
              <w:rPr>
                <w:rFonts w:ascii="楷体" w:hAnsi="楷体" w:eastAsia="楷体" w:cs="楷体"/>
              </w:rPr>
              <w:t>薄如蝉翼的金箔，四只神鸟环绕太阳，被选为中国文化遗产标志</w:t>
            </w:r>
          </w:p>
        </w:tc>
      </w:tr>
      <w:tr w14:paraId="6481E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17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04E8AC45">
            <w:pPr>
              <w:spacing w:line="360" w:lineRule="auto"/>
              <w:jc w:val="center"/>
              <w:textAlignment w:val="center"/>
            </w:pPr>
            <w:r>
              <w:rPr>
                <w:rFonts w:ascii="楷体" w:hAnsi="楷体" w:eastAsia="楷体" w:cs="楷体"/>
              </w:rPr>
              <w:t>蜀锦织机</w:t>
            </w:r>
          </w:p>
        </w:tc>
        <w:tc>
          <w:tcPr>
            <w:tcW w:w="613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14:paraId="52BB3AE3">
            <w:pPr>
              <w:spacing w:line="360" w:lineRule="auto"/>
              <w:jc w:val="center"/>
              <w:textAlignment w:val="center"/>
            </w:pPr>
            <w:r>
              <w:rPr>
                <w:rFonts w:ascii="楷体" w:hAnsi="楷体" w:eastAsia="楷体" w:cs="楷体"/>
              </w:rPr>
              <w:t>汉代提花织机模型，演绎“五星出东方利中国”的丝绸密码</w:t>
            </w:r>
          </w:p>
        </w:tc>
      </w:tr>
    </w:tbl>
    <w:p w14:paraId="4CD1902C">
      <w:pPr>
        <w:spacing w:line="360" w:lineRule="auto"/>
        <w:jc w:val="left"/>
        <w:textAlignment w:val="center"/>
      </w:pPr>
      <w:r>
        <w:t>(1)结合材料一，运用《哲学与文化》中矛盾对立统一关系的知识，分析如何处理好AI技术应用与传统修复技艺之间的关系?</w:t>
      </w:r>
    </w:p>
    <w:p w14:paraId="79DF3270">
      <w:pPr>
        <w:spacing w:line="360" w:lineRule="auto"/>
        <w:jc w:val="left"/>
        <w:textAlignment w:val="center"/>
      </w:pPr>
      <w:r>
        <w:t>(2)请运用发散思维的方法，结合材料二中某一个具体文物，谈谈怎么让文物活起来。(要求：写出两种方法即可，指出所运用思维方法，阐明创新路径。)</w:t>
      </w:r>
    </w:p>
    <w:p w14:paraId="4E8FED03">
      <w:pPr>
        <w:spacing w:line="360" w:lineRule="auto"/>
        <w:jc w:val="left"/>
        <w:textAlignment w:val="center"/>
        <w:sectPr>
          <w:pgSz w:w="11907" w:h="16839"/>
          <w:pgMar w:top="1440" w:right="1080" w:bottom="1440" w:left="1080" w:header="851" w:footer="425" w:gutter="0"/>
          <w:cols w:space="425" w:num="1" w:sep="1"/>
          <w:docGrid w:type="lines" w:linePitch="312" w:charSpace="0"/>
        </w:sectPr>
      </w:pPr>
    </w:p>
    <w:p w14:paraId="45F4D0A9">
      <w:pPr>
        <w:jc w:val="center"/>
        <w:textAlignment w:val="center"/>
        <w:rPr>
          <w:rFonts w:ascii="宋体" w:hAnsi="宋体" w:cs="宋体"/>
          <w:b/>
          <w:color w:val="000000"/>
        </w:rPr>
      </w:pPr>
      <w:r>
        <w:rPr>
          <w:rFonts w:ascii="宋体" w:hAnsi="宋体" w:cs="宋体"/>
          <w:b/>
          <w:color w:val="000000"/>
        </w:rPr>
        <w:t>参考答案</w:t>
      </w:r>
    </w:p>
    <w:p w14:paraId="69A7223C">
      <w:pPr>
        <w:spacing w:line="360" w:lineRule="auto"/>
        <w:jc w:val="left"/>
        <w:textAlignment w:val="center"/>
      </w:pPr>
      <w:r>
        <w:t>1．B</w:t>
      </w:r>
    </w:p>
    <w:p w14:paraId="390CAE8B">
      <w:pPr>
        <w:spacing w:line="360" w:lineRule="auto"/>
        <w:jc w:val="left"/>
        <w:textAlignment w:val="center"/>
      </w:pPr>
      <w:r>
        <w:t>2．A</w:t>
      </w:r>
    </w:p>
    <w:p w14:paraId="64B0AF47">
      <w:pPr>
        <w:spacing w:line="360" w:lineRule="auto"/>
        <w:jc w:val="left"/>
        <w:textAlignment w:val="center"/>
      </w:pPr>
      <w:r>
        <w:t>3．B</w:t>
      </w:r>
    </w:p>
    <w:p w14:paraId="43F32FF0">
      <w:pPr>
        <w:spacing w:line="360" w:lineRule="auto"/>
        <w:jc w:val="left"/>
        <w:textAlignment w:val="center"/>
      </w:pPr>
      <w:r>
        <w:t>4．D</w:t>
      </w:r>
    </w:p>
    <w:p w14:paraId="18A54A81">
      <w:pPr>
        <w:spacing w:line="360" w:lineRule="auto"/>
        <w:jc w:val="left"/>
        <w:textAlignment w:val="center"/>
      </w:pPr>
      <w:r>
        <w:t>5．A</w:t>
      </w:r>
    </w:p>
    <w:p w14:paraId="10223FBD">
      <w:pPr>
        <w:spacing w:line="360" w:lineRule="auto"/>
        <w:jc w:val="left"/>
        <w:textAlignment w:val="center"/>
      </w:pPr>
      <w:r>
        <w:t>6．A</w:t>
      </w:r>
    </w:p>
    <w:p w14:paraId="29023863">
      <w:pPr>
        <w:spacing w:line="360" w:lineRule="auto"/>
        <w:jc w:val="left"/>
        <w:textAlignment w:val="center"/>
      </w:pPr>
      <w:r>
        <w:t>7．C</w:t>
      </w:r>
    </w:p>
    <w:p w14:paraId="0EBCDEBB">
      <w:pPr>
        <w:spacing w:line="360" w:lineRule="auto"/>
        <w:jc w:val="left"/>
        <w:textAlignment w:val="center"/>
      </w:pPr>
      <w:r>
        <w:t>8．A</w:t>
      </w:r>
    </w:p>
    <w:p w14:paraId="38661B55">
      <w:pPr>
        <w:spacing w:line="360" w:lineRule="auto"/>
        <w:jc w:val="left"/>
        <w:textAlignment w:val="center"/>
      </w:pPr>
      <w:r>
        <w:t>9．C</w:t>
      </w:r>
    </w:p>
    <w:p w14:paraId="19D6CF03">
      <w:pPr>
        <w:spacing w:line="360" w:lineRule="auto"/>
        <w:jc w:val="left"/>
        <w:textAlignment w:val="center"/>
      </w:pPr>
      <w:r>
        <w:t>10．D</w:t>
      </w:r>
    </w:p>
    <w:p w14:paraId="678FA85E">
      <w:pPr>
        <w:spacing w:line="360" w:lineRule="auto"/>
        <w:jc w:val="left"/>
        <w:textAlignment w:val="center"/>
      </w:pPr>
      <w:r>
        <w:t>11．D</w:t>
      </w:r>
    </w:p>
    <w:p w14:paraId="27DE3EA9">
      <w:pPr>
        <w:spacing w:line="360" w:lineRule="auto"/>
        <w:jc w:val="left"/>
        <w:textAlignment w:val="center"/>
      </w:pPr>
      <w:r>
        <w:t>12．D</w:t>
      </w:r>
    </w:p>
    <w:p w14:paraId="3BB0E675">
      <w:pPr>
        <w:spacing w:line="360" w:lineRule="auto"/>
        <w:jc w:val="left"/>
        <w:textAlignment w:val="center"/>
      </w:pPr>
      <w:r>
        <w:t>13．A</w:t>
      </w:r>
    </w:p>
    <w:p w14:paraId="24C711DA">
      <w:pPr>
        <w:spacing w:line="360" w:lineRule="auto"/>
        <w:jc w:val="left"/>
        <w:textAlignment w:val="center"/>
      </w:pPr>
      <w:r>
        <w:t>14．C</w:t>
      </w:r>
    </w:p>
    <w:p w14:paraId="62D770B5">
      <w:pPr>
        <w:spacing w:line="360" w:lineRule="auto"/>
        <w:jc w:val="left"/>
        <w:textAlignment w:val="center"/>
      </w:pPr>
      <w:r>
        <w:t>15．C</w:t>
      </w:r>
    </w:p>
    <w:p w14:paraId="1A1EF2ED">
      <w:pPr>
        <w:spacing w:line="360" w:lineRule="auto"/>
        <w:jc w:val="left"/>
        <w:textAlignment w:val="center"/>
      </w:pPr>
      <w:r>
        <w:t>16．D</w:t>
      </w:r>
    </w:p>
    <w:p w14:paraId="70AEA740">
      <w:pPr>
        <w:spacing w:line="360" w:lineRule="auto"/>
        <w:jc w:val="left"/>
        <w:textAlignment w:val="center"/>
      </w:pPr>
      <w:r>
        <w:t>17．</w:t>
      </w:r>
    </w:p>
    <w:p w14:paraId="06596255">
      <w:pPr>
        <w:spacing w:line="360" w:lineRule="auto"/>
        <w:jc w:val="left"/>
        <w:textAlignment w:val="center"/>
      </w:pPr>
      <w:r>
        <w:t>①有利于充分发挥价格信号的引导作用，促进资源向效率更高、效益更好的领域和企业流动，从而提高资源配置的效率，实现资源的优化配置。</w:t>
      </w:r>
    </w:p>
    <w:p w14:paraId="4021D839">
      <w:pPr>
        <w:spacing w:line="360" w:lineRule="auto"/>
        <w:jc w:val="left"/>
        <w:textAlignment w:val="center"/>
      </w:pPr>
      <w:r>
        <w:t>②有利于稳定物价，避免通货膨胀或通货紧缩对经济社会造成不利影响，为经济社会健康发展提供了有力支撑，营造了稳定的宏观经济环境。</w:t>
      </w:r>
    </w:p>
    <w:p w14:paraId="3B8B8F4C">
      <w:pPr>
        <w:spacing w:line="360" w:lineRule="auto"/>
        <w:jc w:val="left"/>
        <w:textAlignment w:val="center"/>
      </w:pPr>
      <w:r>
        <w:t>③有助于调节市场供求关系，促进产业结构调整和升级，推动经济高质量发展，构建高水平社会主义市场经济体制。</w:t>
      </w:r>
    </w:p>
    <w:p w14:paraId="1C1AA71C">
      <w:pPr>
        <w:spacing w:line="360" w:lineRule="auto"/>
        <w:jc w:val="left"/>
        <w:textAlignment w:val="center"/>
      </w:pPr>
      <w:r>
        <w:t>④有利于满足人民美好生活需要，提高人民群众的生活质量和幸福感，维护社会公平正义和稳定。</w:t>
      </w:r>
    </w:p>
    <w:p w14:paraId="0DDE3B8F">
      <w:pPr>
        <w:spacing w:line="360" w:lineRule="auto"/>
        <w:jc w:val="left"/>
        <w:textAlignment w:val="center"/>
      </w:pPr>
      <w:r>
        <w:t>18．</w:t>
      </w:r>
    </w:p>
    <w:p w14:paraId="07A056B5">
      <w:pPr>
        <w:spacing w:line="360" w:lineRule="auto"/>
        <w:jc w:val="left"/>
        <w:textAlignment w:val="center"/>
      </w:pPr>
      <w:r>
        <w:t>①坚持党的领导，两地党委发挥总揽全局、协调各方的领导核心作用，一体谋划发展，为唱好“双城记”提供了根本政治保证，确保各项工作沿着正确方向推进。</w:t>
      </w:r>
    </w:p>
    <w:p w14:paraId="231A5986">
      <w:pPr>
        <w:spacing w:line="360" w:lineRule="auto"/>
        <w:jc w:val="left"/>
        <w:textAlignment w:val="center"/>
      </w:pPr>
      <w:r>
        <w:t>②发挥人大立法保障作用，通过建立跨区域立法协商机制，明确相关领域的法律框架，为基础设施建设、生态环境保护等方面提供了明确的法律依据，规范了各类行为，有利于推动区域协同发展，为唱好“双城记”营造良好的法治环境。</w:t>
      </w:r>
    </w:p>
    <w:p w14:paraId="764373BC">
      <w:pPr>
        <w:spacing w:line="360" w:lineRule="auto"/>
        <w:jc w:val="left"/>
        <w:textAlignment w:val="center"/>
      </w:pPr>
      <w:r>
        <w:t>③政府积极履行职能，加强协同合作。通过签署行动计划、设立产业协同基金，推动产业深度融合，促进了经济高质量发展；实施“一卡通”便民工程，实现公共服务跨省通办，提高了公共服务水平，方便了人民群众生活。</w:t>
      </w:r>
    </w:p>
    <w:p w14:paraId="6896761D">
      <w:pPr>
        <w:spacing w:line="360" w:lineRule="auto"/>
        <w:jc w:val="left"/>
        <w:textAlignment w:val="center"/>
      </w:pPr>
      <w:r>
        <w:t>④政协积极履行民主监督职能，政协委员深入企业调研，形成建议案，推动行政审批标准统一化改革，有助于破除行政壁垒，优化营商环境，促进资源要素的自由流动和高效配置，为唱好“双城记”凝聚了智慧和力量。</w:t>
      </w:r>
    </w:p>
    <w:p w14:paraId="42790EB7">
      <w:pPr>
        <w:spacing w:line="360" w:lineRule="auto"/>
        <w:jc w:val="left"/>
        <w:textAlignment w:val="center"/>
      </w:pPr>
      <w:r>
        <w:t>19．</w:t>
      </w:r>
    </w:p>
    <w:p w14:paraId="7DB9C26E">
      <w:pPr>
        <w:spacing w:line="360" w:lineRule="auto"/>
        <w:jc w:val="left"/>
        <w:textAlignment w:val="center"/>
      </w:pPr>
      <w:r>
        <w:t>①国家间的共同利益是合作的基础。共建“一带一路”坚持了经济全球化正确方向，符合经济规律和各方利益，遵循多边主义、共商共建共享原则，有助于实现合作共赢。</w:t>
      </w:r>
    </w:p>
    <w:p w14:paraId="6E412B12">
      <w:pPr>
        <w:spacing w:line="360" w:lineRule="auto"/>
        <w:jc w:val="left"/>
        <w:textAlignment w:val="center"/>
      </w:pPr>
      <w:r>
        <w:t>②“一带一路”是中国向世界提供的深受欢迎的国际公共产品和国际合作平台，中国坚持建设开放型、联动型、包容型世界经济，推动中国与沿线国家共同繁荣，让建设成果惠及不同国家、不同阶层、不同人群。</w:t>
      </w:r>
    </w:p>
    <w:p w14:paraId="0B0CBCF1">
      <w:pPr>
        <w:spacing w:line="360" w:lineRule="auto"/>
        <w:jc w:val="left"/>
        <w:textAlignment w:val="center"/>
      </w:pPr>
      <w:r>
        <w:t>③中国坚持正确的义利观，承担大国责任，积极参与全球经济治理和规则制定，推进高水平对外开放，推动经济全球化朝着更加开放、包容、普惠、平衡、共赢的方向发展。</w:t>
      </w:r>
    </w:p>
    <w:p w14:paraId="45D759FA">
      <w:pPr>
        <w:spacing w:line="360" w:lineRule="auto"/>
        <w:jc w:val="left"/>
        <w:textAlignment w:val="center"/>
      </w:pPr>
      <w:r>
        <w:t>④“一带一路” 倡议秉持共商共建共享原则，在基础设施建设过程中，加强了各国之间的贸易往来和人员交流。让各国人民感受到了共同发展的好处，推动构建更加紧密的人类命运共同体。</w:t>
      </w:r>
    </w:p>
    <w:p w14:paraId="0CB86E52">
      <w:pPr>
        <w:spacing w:line="360" w:lineRule="auto"/>
        <w:jc w:val="left"/>
        <w:textAlignment w:val="center"/>
      </w:pPr>
      <w:r>
        <w:t>20．</w:t>
      </w:r>
    </w:p>
    <w:p w14:paraId="0BDF0D3F">
      <w:pPr>
        <w:spacing w:line="360" w:lineRule="auto"/>
        <w:jc w:val="left"/>
        <w:textAlignment w:val="center"/>
      </w:pPr>
      <w:r>
        <w:t>①原告确认被告所售商品均为正品，因此这些商品并未假冒原告的注册商标。被告在销售过程中并未损害原告的注册商标标识，也未割裂商标与商品之间的联系，从而避免了给公众造成混淆的可能性，故王某行为不构成商标侵权。</w:t>
      </w:r>
    </w:p>
    <w:p w14:paraId="0360D066">
      <w:pPr>
        <w:spacing w:line="360" w:lineRule="auto"/>
        <w:jc w:val="left"/>
        <w:textAlignment w:val="center"/>
      </w:pPr>
      <w:r>
        <w:t>②被告的行为，包括销售刮去生产日期、防伪码等条码的产品，不仅破坏了原告的价格管控体系和质量保证体系，损害了原告的合法权益，同时也剥夺了消费者了解产品生产日期、验证产品真伪以及享受售后保障服务的权利，进一步损害了消费者的合法权益。此外，这种销售行为长期存在将导致原告及消费者无法对商品进行有效信息查询及管理，从而扰乱市场秩序。因此，被告的销售行为违反了诚信原则，构成了不正当竞争。</w:t>
      </w:r>
    </w:p>
    <w:p w14:paraId="6FBE9348">
      <w:pPr>
        <w:spacing w:line="360" w:lineRule="auto"/>
        <w:jc w:val="left"/>
        <w:textAlignment w:val="center"/>
      </w:pPr>
      <w:r>
        <w:t>21．(1)①矛盾即对立统一，斗争性和同一性是矛盾的基本属性，AI技术应用与传统修复技艺是既对立又统一的关系。</w:t>
      </w:r>
    </w:p>
    <w:p w14:paraId="1ACF572C">
      <w:pPr>
        <w:spacing w:line="360" w:lineRule="auto"/>
        <w:jc w:val="left"/>
        <w:textAlignment w:val="center"/>
      </w:pPr>
      <w:r>
        <w:t>②斗争性指矛盾双方相互排斥、相互对立的属性，AI技术应用与传统修复技艺存在斗争性的一面，AI侧重在通过分析重建了缺失的色彩与线条，提升了修复效率，传统修复技艺侧重在把握古代画师的创作意图。</w:t>
      </w:r>
    </w:p>
    <w:p w14:paraId="3347717D">
      <w:pPr>
        <w:spacing w:line="360" w:lineRule="auto"/>
        <w:jc w:val="left"/>
        <w:textAlignment w:val="center"/>
      </w:pPr>
      <w:r>
        <w:t>③同一性指矛盾双方的相互依赖、相互贯通，同一是对立中的同一，斗争性寓于同一性之中，并为同一性所制约。让古老技艺在现代社会中焕发光彩，涵养更加深厚的文化自信，需要在二者之间找到到平衡点。</w:t>
      </w:r>
    </w:p>
    <w:p w14:paraId="4271243D">
      <w:pPr>
        <w:spacing w:line="360" w:lineRule="auto"/>
        <w:jc w:val="left"/>
        <w:textAlignment w:val="center"/>
      </w:pPr>
      <w:r>
        <w:t>④矛盾双方既对立又统一，由此推动事物的运动、变化和发展。文物修复既需要把握古代画师的创作意图，也需要提高修复的效率，才能让古老技艺在现代社会中焕发光彩，涵养更加深厚的文化自信。</w:t>
      </w:r>
    </w:p>
    <w:p w14:paraId="253DFB18">
      <w:pPr>
        <w:spacing w:line="360" w:lineRule="auto"/>
        <w:jc w:val="left"/>
        <w:textAlignment w:val="center"/>
      </w:pPr>
      <w:r>
        <w:t>(2)检核表法中的他用，挖掘现有事物的其他用途，或者稍加改变后他用。例如蜀锦织机用来加工高科技面料。</w:t>
      </w:r>
    </w:p>
    <w:p w14:paraId="7E3EED4E">
      <w:pPr>
        <w:spacing w:line="360" w:lineRule="auto"/>
        <w:jc w:val="left"/>
        <w:textAlignment w:val="center"/>
      </w:pPr>
      <w:r>
        <w:t>头脑风暴法：通过开会的形式进行畅想，大家可以畅所欲言，揭开三星堆青铜总目面具的神秘面纱。</w:t>
      </w:r>
      <w:bookmarkStart w:id="0" w:name="_GoBack"/>
      <w:bookmarkEnd w:id="0"/>
    </w:p>
    <w:sectPr>
      <w:pgSz w:w="11907" w:h="16839"/>
      <w:pgMar w:top="1440" w:right="1800" w:bottom="1440" w:left="1800"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232A6"/>
    <w:rsid w:val="00043B54"/>
    <w:rsid w:val="00065CD2"/>
    <w:rsid w:val="001D7A06"/>
    <w:rsid w:val="00284433"/>
    <w:rsid w:val="002A1EC6"/>
    <w:rsid w:val="002E035E"/>
    <w:rsid w:val="003F38F2"/>
    <w:rsid w:val="00442A8C"/>
    <w:rsid w:val="004E46D8"/>
    <w:rsid w:val="00537201"/>
    <w:rsid w:val="0062700F"/>
    <w:rsid w:val="0064153B"/>
    <w:rsid w:val="006A4C40"/>
    <w:rsid w:val="006B16C5"/>
    <w:rsid w:val="00776133"/>
    <w:rsid w:val="00811C76"/>
    <w:rsid w:val="00855687"/>
    <w:rsid w:val="008C07DE"/>
    <w:rsid w:val="009E611B"/>
    <w:rsid w:val="00A30CCE"/>
    <w:rsid w:val="00A87B7C"/>
    <w:rsid w:val="00AC3E9C"/>
    <w:rsid w:val="00BC2225"/>
    <w:rsid w:val="00BC4F14"/>
    <w:rsid w:val="00BC62FB"/>
    <w:rsid w:val="00BF535F"/>
    <w:rsid w:val="00C806B0"/>
    <w:rsid w:val="00E476EE"/>
    <w:rsid w:val="00EF035E"/>
    <w:rsid w:val="00F06B17"/>
    <w:rsid w:val="00F16B29"/>
    <w:rsid w:val="00FA429B"/>
    <w:rsid w:val="579B3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88235B77-9666-4394-B8E0-A696D49F3D29}">
  <ds:schemaRefs/>
</ds:datastoreItem>
</file>

<file path=docProps/app.xml><?xml version="1.0" encoding="utf-8"?>
<Properties xmlns="http://schemas.openxmlformats.org/officeDocument/2006/extended-properties" xmlns:vt="http://schemas.openxmlformats.org/officeDocument/2006/docPropsVTypes">
  <Template>Normal.dotm</Template>
  <Pages>11</Pages>
  <Words>7484</Words>
  <Characters>7677</Characters>
  <TotalTime>0</TotalTime>
  <ScaleCrop>false</ScaleCrop>
  <LinksUpToDate>false</LinksUpToDate>
  <CharactersWithSpaces>7862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2025-04-29T06:05:32Z</dcterms:created>
  <dcterms:modified xsi:type="dcterms:W3CDTF">2025-04-29T06:05:47Z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2052-12.1.0.20784</vt:lpwstr>
  </property>
  <property fmtid="{D5CDD505-2E9C-101B-9397-08002B2CF9AE}" pid="4" name="ICV">
    <vt:lpwstr>BC3F319E381E455CB45C4B0D2BCFE7AB_12</vt:lpwstr>
  </property>
</Properties>
</file>