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10807700</wp:posOffset>
            </wp:positionH>
            <wp:positionV relativeFrom="topMargin">
              <wp:posOffset>11874500</wp:posOffset>
            </wp:positionV>
            <wp:extent cx="409575"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09575" cy="266700"/>
                    </a:xfrm>
                    <a:prstGeom prst="rect">
                      <a:avLst/>
                    </a:prstGeom>
                  </pic:spPr>
                </pic:pic>
              </a:graphicData>
            </a:graphic>
          </wp:anchor>
        </w:drawing>
      </w:r>
      <w:r>
        <w:rPr>
          <w:rFonts w:ascii="SimSun" w:eastAsia="SimSun" w:hAnsi="SimSun" w:cs="SimSun"/>
          <w:b/>
          <w:bCs/>
          <w:sz w:val="32"/>
          <w:szCs w:val="32"/>
        </w:rPr>
        <w:t>亳州二中2024-2025年度高二上学期第二次月考历史试题</w:t>
      </w:r>
    </w:p>
    <w:p>
      <w:pPr>
        <w:widowControl w:val="0"/>
        <w:spacing w:before="0" w:after="0" w:line="360" w:lineRule="auto"/>
        <w:jc w:val="center"/>
      </w:pPr>
      <w:r>
        <w:rPr>
          <w:rFonts w:ascii="SimSun" w:eastAsia="SimSun" w:hAnsi="SimSun" w:cs="SimSun"/>
          <w:b/>
          <w:bCs/>
        </w:rPr>
        <w:t>（命题范围：选择性必修一全册及选择性必修二的前三课）</w:t>
      </w:r>
    </w:p>
    <w:p>
      <w:pPr>
        <w:widowControl w:val="0"/>
        <w:spacing w:before="0" w:after="0" w:line="360" w:lineRule="auto"/>
        <w:jc w:val="both"/>
      </w:pPr>
      <w:r>
        <w:rPr>
          <w:rFonts w:ascii="SimSun" w:eastAsia="SimSun" w:hAnsi="SimSun" w:cs="SimSun"/>
          <w:b/>
          <w:bCs/>
        </w:rPr>
        <w:t>一、单选题（每题3分，共48分）</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据史书记载，盘庚时，商王室更加团结，内服百官安宁，原有的外服逐渐归附商王朝统治下，朝王纳贡，以复成汤时期内外服制度，有“遵成汤之德”论赞。这表明，当时（</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社会统治秩序日趋完善</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国家政治弥漫着神权色彩</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众星捧月局面逐渐形成</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内外服制增强商朝凝聚力</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汉景帝欲封匈奴来降的徐卢等五人为列侯，丞相周亚夫劝阻。上曰：丞相议不可用。乃悉封徐卢等为列侯，亚夫因谢病免相。汉哀帝时，丞相王嘉数次拒绝执行皇帝对宠臣董贤的册封诏书。据此可知，汉朝丞相制度（</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对皇权有制约作用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利于加强中央集权</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形同虚设难以为继</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分权制衡科学决策</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1917年，孙中山在《建国方略》中指出：“予之于革命建设也，本世界进化之潮流，循各国已行之先例，鉴其利弊得失，思之稔熟，筹之有素，而后订为革命方略，规定革命进行之时期为三：第一、军政时期，第二、训政时期，第三、宪政时期。”孙中山的这一论述（</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论证了三权分立适合国情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明确了革命与共和的路径</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实现了国人思想高度统一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推动了民主革命高潮到来</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1908年清政府出台的《钦定宪法大纲》以“巩固君权”为旨归，而且特别说明将来起草宪法要以该文件为蓝本。与《钦定宪法大纲》同时发布的“九年筹备清单”规定：颁布宪法在先，召集国会议员在后。这些举措（</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推动了近代中国改革的深化</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安抚了革命派的不满情绪</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激化了立宪派与清政府矛盾</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直接导致了武昌起义爆发</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下图是1853年英国查理·屈威廉和斯坦福·诺斯科特的《诺斯科特一屈威廉报告》,提出的几条重要原则。这些原则的提出（</w:t>
      </w:r>
      <w:r>
        <w:rPr>
          <w:rFonts w:ascii="SimSun" w:eastAsia="SimSun" w:hAnsi="SimSun" w:cs="SimSun"/>
          <w:sz w:val="21"/>
          <w:szCs w:val="21"/>
        </w:rPr>
        <w:t xml:space="preserve">   </w:t>
      </w:r>
      <w:r>
        <w:rPr>
          <w:rFonts w:ascii="SimSun" w:eastAsia="SimSun" w:hAnsi="SimSun" w:cs="SimSun"/>
          <w:sz w:val="21"/>
          <w:szCs w:val="21"/>
        </w:rPr>
        <w:t>）</w:t>
      </w:r>
    </w:p>
    <w:tbl>
      <w:tblPr>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880"/>
      </w:tblGrid>
      <w:tr>
        <w:tblPrEx>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7770" w:type="dxa"/>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1.文官筛选录取的方式为公开考试；</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2.文官的晋升与提拔依靠其政绩与勤奋程度,改变原有的“共同晋升”,高级文官由内部产生；</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3.所有文官分为两级,高级文官负责政策执行,低级文官处理日常事务；</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4.文官不应有政治偏见,不应受到党派和裙带关系的影响；</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5.文官的工作按照性质分为体力类和智力类。</w:t>
            </w:r>
          </w:p>
        </w:tc>
      </w:tr>
    </w:tbl>
    <w:p>
      <w:pPr>
        <w:widowControl w:val="0"/>
        <w:spacing w:before="0" w:after="0"/>
        <w:jc w:val="both"/>
        <w:rPr>
          <w:sz w:val="0"/>
          <w:szCs w:val="0"/>
        </w:rPr>
      </w:pPr>
      <w:r>
        <w:rPr>
          <w:strike w:val="0"/>
          <w:sz w:val="0"/>
          <w:szCs w:val="0"/>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有助于文官制度</w:t>
      </w:r>
      <w:r>
        <w:rPr>
          <w:strike w:val="0"/>
          <w:sz w:val="21"/>
          <w:szCs w:val="21"/>
          <w:u w:val="none"/>
        </w:rPr>
        <w:drawing>
          <wp:inline>
            <wp:extent cx="133350" cy="180975"/>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确立</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避免了政党对政治事务干预</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消除了政治腐败的现象</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明确了事务官和政务官职责</w:t>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茶马古道与茶马互市发展到宋朝时成为了政府加强西南边境地区管理的重要手段。为了维护边境的安宁和平，宋朝的统治者以茶马互市巩固边疆，通过开放边境互相贸易的形式，实现对西南少数民族的“羁縻”目的，利用经济文化的方式阻止了少数民族的武力侵扰。关于宋朝的茶马互市，下列说法正确的是（</w:t>
      </w:r>
      <w:r>
        <w:rPr>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奠定了统一多民族国家的版图</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客观上有利于西域地区的开发</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薄来厚往加剧了宋朝财政负担</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促进了民族间的经济文化交流</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如表为甲午战后部分知识分子的主张，据此可知，当时中国（</w:t>
      </w:r>
      <w:r>
        <w:rPr>
          <w:rFonts w:ascii="SimSun" w:eastAsia="SimSun" w:hAnsi="SimSun" w:cs="SimSun"/>
          <w:sz w:val="21"/>
          <w:szCs w:val="21"/>
        </w:rPr>
        <w:t xml:space="preserve">   </w:t>
      </w:r>
      <w:r>
        <w:rPr>
          <w:rFonts w:ascii="SimSun" w:eastAsia="SimSun" w:hAnsi="SimSun" w:cs="SimSun"/>
          <w:sz w:val="21"/>
          <w:szCs w:val="21"/>
        </w:rPr>
        <w:t>）</w:t>
      </w:r>
    </w:p>
    <w:tbl>
      <w:tblPr>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50"/>
        <w:gridCol w:w="5185"/>
      </w:tblGrid>
      <w:tr>
        <w:tblPrEx>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900" w:type="dxa"/>
            <w:tcBorders>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br/>
            </w:r>
          </w:p>
        </w:tc>
        <w:tc>
          <w:tcPr>
            <w:tcW w:w="526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主张</w:t>
            </w:r>
          </w:p>
        </w:tc>
      </w:tr>
      <w:tr>
        <w:tblPrEx>
          <w:tblW w:w="6165" w:type="dxa"/>
          <w:tblInd w:w="128" w:type="dxa"/>
          <w:tblCellMar>
            <w:top w:w="0" w:type="dxa"/>
            <w:left w:w="0" w:type="dxa"/>
            <w:bottom w:w="0" w:type="dxa"/>
            <w:right w:w="0" w:type="dxa"/>
          </w:tblCellMar>
        </w:tblPrEx>
        <w:tc>
          <w:tcPr>
            <w:tcW w:w="90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梁启超</w:t>
            </w:r>
          </w:p>
        </w:tc>
        <w:tc>
          <w:tcPr>
            <w:tcW w:w="526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欲兴学校、养人才以强中国，惟变科举为第一要义。</w:t>
            </w:r>
          </w:p>
        </w:tc>
      </w:tr>
      <w:tr>
        <w:tblPrEx>
          <w:tblW w:w="6165" w:type="dxa"/>
          <w:tblInd w:w="128" w:type="dxa"/>
          <w:tblCellMar>
            <w:top w:w="0" w:type="dxa"/>
            <w:left w:w="0" w:type="dxa"/>
            <w:bottom w:w="0" w:type="dxa"/>
            <w:right w:w="0" w:type="dxa"/>
          </w:tblCellMar>
        </w:tblPrEx>
        <w:tc>
          <w:tcPr>
            <w:tcW w:w="90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严复</w:t>
            </w:r>
          </w:p>
        </w:tc>
        <w:tc>
          <w:tcPr>
            <w:tcW w:w="526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今日中国不变法则亡！变将何先？莫亟于废八股。</w:t>
            </w:r>
          </w:p>
        </w:tc>
      </w:tr>
      <w:tr>
        <w:tblPrEx>
          <w:tblW w:w="6165" w:type="dxa"/>
          <w:tblInd w:w="128" w:type="dxa"/>
          <w:tblCellMar>
            <w:top w:w="0" w:type="dxa"/>
            <w:left w:w="0" w:type="dxa"/>
            <w:bottom w:w="0" w:type="dxa"/>
            <w:right w:w="0" w:type="dxa"/>
          </w:tblCellMar>
        </w:tblPrEx>
        <w:tc>
          <w:tcPr>
            <w:tcW w:w="90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徐勤</w:t>
            </w:r>
          </w:p>
        </w:tc>
        <w:tc>
          <w:tcPr>
            <w:tcW w:w="5265"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覆吾中国者，必自愚民矣，必自举业愚民矣。</w:t>
            </w:r>
          </w:p>
        </w:tc>
      </w:tr>
    </w:tbl>
    <w:p>
      <w:pPr>
        <w:widowControl w:val="0"/>
        <w:spacing w:before="0" w:after="0" w:line="360" w:lineRule="auto"/>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改革科举成为迫切的要求</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废除八股取士遭到强烈反对</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变法拥有广泛的社会基础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科举选官制度开始发生嬗变</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熙宁元年（1068年）四月，王安石提出全面改革的想法，他认为北宋国家贫苦的症结，不在于开支过多，而在于生产过少；农民之所以贫苦和不能从事生产，一方面是由于官僚富豪兼并了大量土地，另一方面是由于政府把繁重的徭役加在农民身上。鉴于此，王安石主张（</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抑制兼并且减轻徭役负担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增加开支以刺激农民生产</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土地收归国有并重新分配</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提高赋税以充实国家财政</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公元前5世纪,雅典采用抽签法选举执政官,为了不使选举发生在完全偶然的情况下,规定凡是抽签抽到的人,在其就职前必须接受委员会或者法院的资格审查;候选人还须满足父母皆为雅典人、体格健全、无不良记录、完成各项军事义务等条件。这表明古代雅典（</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民众参政热情高涨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民主政治存在局限</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社会公平得到保障</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主权</w:t>
      </w:r>
      <w:r>
        <w:rPr>
          <w:strike w:val="0"/>
          <w:sz w:val="21"/>
          <w:szCs w:val="21"/>
          <w:u w:val="none"/>
        </w:rPr>
        <w:drawing>
          <wp:inline>
            <wp:extent cx="142875" cy="1905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142875" cy="190500"/>
                    </a:xfrm>
                    <a:prstGeom prst="rect">
                      <a:avLst/>
                    </a:prstGeom>
                  </pic:spPr>
                </pic:pic>
              </a:graphicData>
            </a:graphic>
          </wp:inline>
        </w:drawing>
      </w:r>
      <w:r>
        <w:rPr>
          <w:rFonts w:ascii="SimSun" w:eastAsia="SimSun" w:hAnsi="SimSun" w:cs="SimSun"/>
          <w:sz w:val="21"/>
          <w:szCs w:val="21"/>
        </w:rPr>
        <w:t>民原则盛行</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根据《中国人民政治协商会议共同纲领》</w:t>
      </w:r>
      <w:r>
        <w:rPr>
          <w:strike w:val="0"/>
          <w:sz w:val="21"/>
          <w:szCs w:val="21"/>
          <w:u w:val="none"/>
        </w:rPr>
        <w:drawing>
          <wp:inline>
            <wp:extent cx="133350" cy="180975"/>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要求,截至1951年,新中国制定和实施了《政务院关于没收</w:t>
      </w:r>
      <w:r>
        <w:rPr>
          <w:strike w:val="0"/>
          <w:sz w:val="21"/>
          <w:szCs w:val="21"/>
          <w:u w:val="none"/>
        </w:rPr>
        <w:drawing>
          <wp:inline>
            <wp:extent cx="28575" cy="28575"/>
            <wp:docPr id="10003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战犯、汉奸、官僚资本家及反革命分子财产的指示》《土地改革法》《新区农村债务纠纷处理方法》《私营企业暂行条例》《保护发明权和专利权暂行条例》《婚姻法》等诸多法律。这些法律文件的颁行（</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贯彻了依法治国方略</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旨在完善新中国民主法制体系</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配合了三大改造进程</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利于巩固新民主主义革命成果</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如表所示为新中国成立以来我国民族关系或民族政策的部分史实。从中可以看出，我国（</w:t>
      </w:r>
      <w:r>
        <w:rPr>
          <w:rFonts w:ascii="SimSun" w:eastAsia="SimSun" w:hAnsi="SimSun" w:cs="SimSun"/>
          <w:sz w:val="21"/>
          <w:szCs w:val="21"/>
        </w:rPr>
        <w:t xml:space="preserve">   </w:t>
      </w:r>
      <w:r>
        <w:rPr>
          <w:rFonts w:ascii="SimSun" w:eastAsia="SimSun" w:hAnsi="SimSun" w:cs="SimSun"/>
          <w:sz w:val="21"/>
          <w:szCs w:val="21"/>
        </w:rPr>
        <w:t>）</w:t>
      </w:r>
    </w:p>
    <w:tbl>
      <w:tblPr>
        <w:tblW w:w="81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215"/>
        <w:gridCol w:w="11820"/>
      </w:tblGrid>
      <w:tr>
        <w:tblPrEx>
          <w:tblW w:w="81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1695"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时间</w:t>
            </w:r>
          </w:p>
        </w:tc>
        <w:tc>
          <w:tcPr>
            <w:tcW w:w="640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史实</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1949年9月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《中国人民政治协商会议共同纲领》规定：“中华人民共和国境内各民族一律平等，实行团结互助”</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1979年6月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邓小平指出：“我国各兄弟民族经过民主改革和社会主义改造……结成了社会主义的团结友爱、互助合作的新型民族关系”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1982年9月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中共十二大通过的《中国共产党章程》规定：“中国共产党维护和发展国内各民族平等、团结、互助关系”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1991年7月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江泽民《在庆祝中国共产党成立七十周年大会上的讲话》中提出“平等互助、团结合作、共同繁荣的社会主义新型民族关系”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2005年5月</w:t>
            </w:r>
          </w:p>
        </w:tc>
        <w:tc>
          <w:tcPr>
            <w:tcW w:w="6405"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第三次中央民族工作会议提出：“平等、团结、互助、和谐是我国社会主义民族关系的本质特征”</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已经逐步实现各民族的共同繁荣</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社会主义民族关系理念不断发展</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民族和谐是民族关系的最高追求</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民族区域自治制度得到有效落实</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1950年8月，新中国派队参加在布拉格举行的世界大学生第二次代表大会体育比赛；1963年11月，我国派出史上最大的体育代表团参加在印度尼西亚举行的新兴力量运动会；从1960年到1964年，中日两国围棋代表团多次互访，相互交流。这些活动表明新中国（</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联合周边反帝势力以对抗美苏</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意欲重构东亚地区的政治格局</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积极改善国内发展的外部环境</w:t>
      </w:r>
      <w:r>
        <w:rPr>
          <w:strike w:val="0"/>
          <w:sz w:val="21"/>
          <w:szCs w:val="21"/>
          <w:u w:val="none"/>
        </w:rPr>
        <w:drawing>
          <wp:inline>
            <wp:extent cx="28575" cy="28575"/>
            <wp:docPr id="100045"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已摆脱意识形态对外交的影响</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1962年，英国财政大臣提出“在国际货币基金组织内成立一个共同账户”，各国可以将持有或购买的他国货币作为共同账户存款，待本国需要时使用。1965年1月，法兰西银行宣布从法国现有的外汇储备中提出15000万美元兑换黄金，并声明今后将根据国际收支盈余情况每月例行以美元兑取黄金。西方国家的这些举动说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11"/>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国际金融市场秩序持续恶化</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资本主义阵营正渐趋瓦解</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美国丧失世界经济中心地位</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布雷顿森林体系面临挑战</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乡饮酒礼是周代流行的宴饮风俗，为历代所沿用。清朝地方的乡饮酒礼规定十分严格，宾客座次分明，长幼有序。被皇帝批准并参加乡饮酒礼的“乡饮宾”，一般都是乡里年高德劭之人，朝廷还会赏给顶戴品级，乡饮酒礼结束之后，地方政府官员还要上门赠送匾额以彰其德。由此可知（</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清朝君主专制空前强化</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乡饮酒礼是西周礼乐制度的延续</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容易造成地方割据势力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朝廷注重乡饮酒礼制度的教化功能</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如图为山西襄汾陶寺遗址“观象台”复原图，该观象台以观测台为中心，13根夯土柱呈半圆形分布，古人利用柱子间的狭缝观测日出，并依据日影来推测季节与节气。该观象台的发现证实了《尚书·尧典》所记述的“历象日月星辰，敬授人时”的历史背景与社会现实。由此可知（</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286000" cy="1362075"/>
            <wp:docPr id="1000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12"/>
                    <a:stretch>
                      <a:fillRect/>
                    </a:stretch>
                  </pic:blipFill>
                  <pic:spPr>
                    <a:xfrm>
                      <a:off x="0" y="0"/>
                      <a:ext cx="2286000" cy="13620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农业生产以天文学成就为基础</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刀耕火种的原始农业初具规模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古人追求人与自然的和谐共处</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多种史料的互联助推史学发展</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1493年，哥伦布船队随行人员在拉美地区第一次引种甘蔗，不到20年时间，拉美便开始向欧洲出口蔗糖。此外，以巴西为代表的新大陆的咖啡和柑橘产量占16世纪初世界产量的一半以上。这表明当时（</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西班牙走上了资本主义道路</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殖民活动加快了拉美地区的开发</w:t>
      </w:r>
      <w:r>
        <w:rPr>
          <w:strike w:val="0"/>
          <w:sz w:val="21"/>
          <w:szCs w:val="21"/>
          <w:u w:val="none"/>
        </w:rPr>
        <w:drawing>
          <wp:inline>
            <wp:extent cx="28575" cy="28575"/>
            <wp:docPr id="10006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商品输出是西葡扩张的动力</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物种交流促进了世界市场的发展</w:t>
      </w:r>
    </w:p>
    <w:p>
      <w:pPr>
        <w:widowControl w:val="0"/>
        <w:spacing w:before="0" w:after="0" w:line="360" w:lineRule="auto"/>
        <w:jc w:val="both"/>
      </w:pPr>
      <w:r>
        <w:rPr>
          <w:rFonts w:ascii="SimSun" w:eastAsia="SimSun" w:hAnsi="SimSun" w:cs="SimSun"/>
          <w:b/>
          <w:bCs/>
        </w:rPr>
        <w:t>二、非选择题：本大题共3小题，共52分。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阅读下列材料，回答问题。</w:t>
      </w:r>
    </w:p>
    <w:p>
      <w:pPr>
        <w:widowControl w:val="0"/>
        <w:spacing w:before="0" w:after="0" w:line="360" w:lineRule="auto"/>
        <w:ind w:firstLine="450"/>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洪武七年（</w:t>
      </w:r>
      <w:r>
        <w:rPr>
          <w:sz w:val="21"/>
          <w:szCs w:val="21"/>
        </w:rPr>
        <w:t>1474</w:t>
      </w:r>
      <w:r>
        <w:rPr>
          <w:rFonts w:ascii="KaiTi" w:eastAsia="KaiTi" w:hAnsi="KaiTi" w:cs="KaiTi"/>
          <w:sz w:val="21"/>
          <w:szCs w:val="21"/>
        </w:rPr>
        <w:t>年）发行大明宝钞。金、银、铜钱皆遭禁用。后由于宝钞发行泛滥，持续贬值，白银价值相对稳定，到明朝中后期，随着租税折银、官俸银支、一条鞭法的逐步开放和改革的进行，从民间到官方都已经广泛承认白银的货币性质，白银通行已经遍及社会生活的各行各业了。</w:t>
      </w:r>
    </w:p>
    <w:p>
      <w:pPr>
        <w:widowControl w:val="0"/>
        <w:spacing w:before="0" w:after="0" w:line="360" w:lineRule="auto"/>
        <w:jc w:val="right"/>
        <w:rPr>
          <w:sz w:val="21"/>
          <w:szCs w:val="21"/>
        </w:rPr>
      </w:pPr>
      <w:r>
        <w:rPr>
          <w:rFonts w:ascii="KaiTi" w:eastAsia="KaiTi" w:hAnsi="KaiTi" w:cs="KaiTi"/>
          <w:sz w:val="21"/>
          <w:szCs w:val="21"/>
        </w:rPr>
        <w:t>——摘编自李勇五《中国明清银本位货币制度研究》</w:t>
      </w:r>
    </w:p>
    <w:p>
      <w:pPr>
        <w:widowControl w:val="0"/>
        <w:spacing w:before="0" w:after="0" w:line="360" w:lineRule="auto"/>
        <w:ind w:firstLine="450"/>
        <w:rPr>
          <w:sz w:val="21"/>
          <w:szCs w:val="21"/>
        </w:rPr>
      </w:pPr>
      <w:r>
        <w:rPr>
          <w:rFonts w:ascii="KaiTi" w:eastAsia="KaiTi" w:hAnsi="KaiTi" w:cs="KaiTi"/>
          <w:sz w:val="21"/>
          <w:szCs w:val="21"/>
        </w:rPr>
        <w:t>材料二</w:t>
      </w:r>
      <w:r>
        <w:rPr>
          <w:rFonts w:ascii="KaiTi" w:eastAsia="KaiTi" w:hAnsi="KaiTi" w:cs="KaiTi"/>
          <w:sz w:val="21"/>
          <w:szCs w:val="21"/>
        </w:rPr>
        <w:t xml:space="preserve">  </w:t>
      </w:r>
      <w:r>
        <w:rPr>
          <w:rFonts w:ascii="KaiTi" w:eastAsia="KaiTi" w:hAnsi="KaiTi" w:cs="KaiTi"/>
          <w:sz w:val="21"/>
          <w:szCs w:val="21"/>
        </w:rPr>
        <w:t>中世纪时期英国对其货币进行了严格治理。亨利一世规定：所有参与伪造的铸币师应遭受失去右手或被阉割的惩罚。爱德华一世于</w:t>
      </w:r>
      <w:r>
        <w:rPr>
          <w:sz w:val="21"/>
          <w:szCs w:val="21"/>
        </w:rPr>
        <w:t>1299</w:t>
      </w:r>
      <w:r>
        <w:rPr>
          <w:rFonts w:ascii="KaiTi" w:eastAsia="KaiTi" w:hAnsi="KaiTi" w:cs="KaiTi"/>
          <w:sz w:val="21"/>
          <w:szCs w:val="21"/>
        </w:rPr>
        <w:t>年，颁布“斯特普尼法”，规定：任何人不得携带国外劣质货币进入英国，否则将没收其商品，并处以死刑。</w:t>
      </w:r>
      <w:r>
        <w:rPr>
          <w:sz w:val="21"/>
          <w:szCs w:val="21"/>
        </w:rPr>
        <w:t>1379</w:t>
      </w:r>
      <w:r>
        <w:rPr>
          <w:rFonts w:ascii="KaiTi" w:eastAsia="KaiTi" w:hAnsi="KaiTi" w:cs="KaiTi"/>
          <w:sz w:val="21"/>
          <w:szCs w:val="21"/>
        </w:rPr>
        <w:t>年法令规定：每进口价值</w:t>
      </w:r>
      <w:r>
        <w:rPr>
          <w:sz w:val="21"/>
          <w:szCs w:val="21"/>
        </w:rPr>
        <w:t>1</w:t>
      </w:r>
      <w:r>
        <w:rPr>
          <w:rFonts w:ascii="KaiTi" w:eastAsia="KaiTi" w:hAnsi="KaiTi" w:cs="KaiTi"/>
          <w:sz w:val="21"/>
          <w:szCs w:val="21"/>
        </w:rPr>
        <w:t>镑的奢侈品或出口价值</w:t>
      </w:r>
      <w:r>
        <w:rPr>
          <w:sz w:val="21"/>
          <w:szCs w:val="21"/>
        </w:rPr>
        <w:t>1</w:t>
      </w:r>
      <w:r>
        <w:rPr>
          <w:rFonts w:ascii="KaiTi" w:eastAsia="KaiTi" w:hAnsi="KaiTi" w:cs="KaiTi"/>
          <w:sz w:val="21"/>
          <w:szCs w:val="21"/>
        </w:rPr>
        <w:t>镑的羊毛，商人均应为铸币厂带来</w:t>
      </w:r>
      <w:r>
        <w:rPr>
          <w:sz w:val="21"/>
          <w:szCs w:val="21"/>
        </w:rPr>
        <w:t>1</w:t>
      </w:r>
      <w:r>
        <w:rPr>
          <w:rFonts w:ascii="KaiTi" w:eastAsia="KaiTi" w:hAnsi="KaiTi" w:cs="KaiTi"/>
          <w:sz w:val="21"/>
          <w:szCs w:val="21"/>
        </w:rPr>
        <w:t>先令的贵金属，</w:t>
      </w:r>
      <w:r>
        <w:rPr>
          <w:sz w:val="21"/>
          <w:szCs w:val="21"/>
        </w:rPr>
        <w:t>1397</w:t>
      </w:r>
      <w:r>
        <w:rPr>
          <w:rFonts w:ascii="KaiTi" w:eastAsia="KaiTi" w:hAnsi="KaiTi" w:cs="KaiTi"/>
          <w:sz w:val="21"/>
          <w:szCs w:val="21"/>
        </w:rPr>
        <w:t>年又规定每出口一袋羊毛或</w:t>
      </w:r>
      <w:r>
        <w:rPr>
          <w:sz w:val="21"/>
          <w:szCs w:val="21"/>
        </w:rPr>
        <w:t>240</w:t>
      </w:r>
      <w:r>
        <w:rPr>
          <w:rFonts w:ascii="KaiTi" w:eastAsia="KaiTi" w:hAnsi="KaiTi" w:cs="KaiTi"/>
          <w:sz w:val="21"/>
          <w:szCs w:val="21"/>
        </w:rPr>
        <w:t>张羊皮等，均应向铸币厂寄存</w:t>
      </w:r>
      <w:r>
        <w:rPr>
          <w:sz w:val="21"/>
          <w:szCs w:val="21"/>
        </w:rPr>
        <w:t>1</w:t>
      </w:r>
      <w:r>
        <w:rPr>
          <w:rFonts w:ascii="KaiTi" w:eastAsia="KaiTi" w:hAnsi="KaiTi" w:cs="KaiTi"/>
          <w:sz w:val="21"/>
          <w:szCs w:val="21"/>
        </w:rPr>
        <w:t>盎司黄金，否则遭重罚。</w:t>
      </w:r>
      <w:r>
        <w:rPr>
          <w:sz w:val="21"/>
          <w:szCs w:val="21"/>
        </w:rPr>
        <w:t>1411</w:t>
      </w:r>
      <w:r>
        <w:rPr>
          <w:rFonts w:ascii="KaiTi" w:eastAsia="KaiTi" w:hAnsi="KaiTi" w:cs="KaiTi"/>
          <w:sz w:val="21"/>
          <w:szCs w:val="21"/>
        </w:rPr>
        <w:t>年、</w:t>
      </w:r>
      <w:r>
        <w:rPr>
          <w:sz w:val="21"/>
          <w:szCs w:val="21"/>
        </w:rPr>
        <w:t>1464</w:t>
      </w:r>
      <w:r>
        <w:rPr>
          <w:rFonts w:ascii="KaiTi" w:eastAsia="KaiTi" w:hAnsi="KaiTi" w:cs="KaiTi"/>
          <w:sz w:val="21"/>
          <w:szCs w:val="21"/>
        </w:rPr>
        <w:t>年又进行大规模的货币重铸，基本上消除了流通中的劣质货币，改善了货币流通环境。</w:t>
      </w:r>
    </w:p>
    <w:p>
      <w:pPr>
        <w:widowControl w:val="0"/>
        <w:spacing w:before="0" w:after="0" w:line="360" w:lineRule="auto"/>
        <w:jc w:val="right"/>
        <w:rPr>
          <w:sz w:val="21"/>
          <w:szCs w:val="21"/>
        </w:rPr>
      </w:pPr>
      <w:r>
        <w:rPr>
          <w:rFonts w:ascii="KaiTi" w:eastAsia="KaiTi" w:hAnsi="KaiTi" w:cs="KaiTi"/>
          <w:sz w:val="21"/>
          <w:szCs w:val="21"/>
        </w:rPr>
        <w:t>——摘编自崔洪健《中世纪英国货币治理问题初探基于英王货币政策的考察》</w:t>
      </w:r>
    </w:p>
    <w:p>
      <w:pPr>
        <w:widowControl w:val="0"/>
        <w:spacing w:before="0" w:after="0" w:line="360" w:lineRule="auto"/>
        <w:ind w:firstLine="450"/>
        <w:rPr>
          <w:sz w:val="21"/>
          <w:szCs w:val="21"/>
        </w:rPr>
      </w:pPr>
      <w:r>
        <w:rPr>
          <w:rFonts w:ascii="KaiTi" w:eastAsia="KaiTi" w:hAnsi="KaiTi" w:cs="KaiTi"/>
          <w:sz w:val="21"/>
          <w:szCs w:val="21"/>
        </w:rPr>
        <w:t>材料三</w:t>
      </w:r>
      <w:r>
        <w:rPr>
          <w:rFonts w:ascii="KaiTi" w:eastAsia="KaiTi" w:hAnsi="KaiTi" w:cs="KaiTi"/>
          <w:sz w:val="21"/>
          <w:szCs w:val="21"/>
        </w:rPr>
        <w:t xml:space="preserve">  </w:t>
      </w:r>
      <w:r>
        <w:rPr>
          <w:rFonts w:ascii="KaiTi" w:eastAsia="KaiTi" w:hAnsi="KaiTi" w:cs="KaiTi"/>
          <w:sz w:val="21"/>
          <w:szCs w:val="21"/>
        </w:rPr>
        <w:t>民国时期，我国经济困顿和币制混乱问题严重。</w:t>
      </w:r>
      <w:r>
        <w:rPr>
          <w:sz w:val="21"/>
          <w:szCs w:val="21"/>
        </w:rPr>
        <w:t>1932</w:t>
      </w:r>
      <w:r>
        <w:rPr>
          <w:rFonts w:ascii="KaiTi" w:eastAsia="KaiTi" w:hAnsi="KaiTi" w:cs="KaiTi"/>
          <w:sz w:val="21"/>
          <w:szCs w:val="21"/>
        </w:rPr>
        <w:t>年，美国白银政策使国际银价大幅度提升，又造成我国白银大量外流，从而引发了经济动荡。</w:t>
      </w:r>
      <w:r>
        <w:rPr>
          <w:sz w:val="21"/>
          <w:szCs w:val="21"/>
        </w:rPr>
        <w:t>1935</w:t>
      </w:r>
      <w:r>
        <w:rPr>
          <w:rFonts w:ascii="KaiTi" w:eastAsia="KaiTi" w:hAnsi="KaiTi" w:cs="KaiTi"/>
          <w:sz w:val="21"/>
          <w:szCs w:val="21"/>
        </w:rPr>
        <w:t>年</w:t>
      </w:r>
      <w:r>
        <w:rPr>
          <w:sz w:val="21"/>
          <w:szCs w:val="21"/>
        </w:rPr>
        <w:t>11</w:t>
      </w:r>
      <w:r>
        <w:rPr>
          <w:rFonts w:ascii="KaiTi" w:eastAsia="KaiTi" w:hAnsi="KaiTi" w:cs="KaiTi"/>
          <w:sz w:val="21"/>
          <w:szCs w:val="21"/>
        </w:rPr>
        <w:t>月，国民政府进行币制改革，具体内容如下：统一中国货币的发行权，所有税收和公私收支款项均用法币支付……禁止白银在国内流通，法币与英镑挂钩，规定法币</w:t>
      </w:r>
      <w:r>
        <w:rPr>
          <w:sz w:val="21"/>
          <w:szCs w:val="21"/>
        </w:rPr>
        <w:t>1</w:t>
      </w:r>
      <w:r>
        <w:rPr>
          <w:rFonts w:ascii="KaiTi" w:eastAsia="KaiTi" w:hAnsi="KaiTi" w:cs="KaiTi"/>
          <w:sz w:val="21"/>
          <w:szCs w:val="21"/>
        </w:rPr>
        <w:t>元等于英镑</w:t>
      </w:r>
      <w:r>
        <w:rPr>
          <w:sz w:val="21"/>
          <w:szCs w:val="21"/>
        </w:rPr>
        <w:t>1</w:t>
      </w:r>
      <w:r>
        <w:rPr>
          <w:rFonts w:ascii="KaiTi" w:eastAsia="KaiTi" w:hAnsi="KaiTi" w:cs="KaiTi"/>
          <w:sz w:val="21"/>
          <w:szCs w:val="21"/>
        </w:rPr>
        <w:t>先令</w:t>
      </w:r>
      <w:r>
        <w:rPr>
          <w:sz w:val="21"/>
          <w:szCs w:val="21"/>
        </w:rPr>
        <w:t>2</w:t>
      </w:r>
      <w:r>
        <w:rPr>
          <w:strike w:val="0"/>
          <w:sz w:val="21"/>
          <w:szCs w:val="21"/>
          <w:u w:val="none"/>
        </w:rPr>
        <w:drawing>
          <wp:inline>
            <wp:extent cx="38100" cy="95250"/>
            <wp:docPr id="1000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11"/>
                    <a:stretch>
                      <a:fillRect/>
                    </a:stretch>
                  </pic:blipFill>
                  <pic:spPr>
                    <a:xfrm>
                      <a:off x="0" y="0"/>
                      <a:ext cx="38100" cy="95250"/>
                    </a:xfrm>
                    <a:prstGeom prst="rect">
                      <a:avLst/>
                    </a:prstGeom>
                  </pic:spPr>
                </pic:pic>
              </a:graphicData>
            </a:graphic>
          </wp:inline>
        </w:drawing>
      </w:r>
      <w:r>
        <w:rPr>
          <w:sz w:val="21"/>
          <w:szCs w:val="21"/>
        </w:rPr>
        <w:t>5</w:t>
      </w:r>
      <w:r>
        <w:rPr>
          <w:rFonts w:ascii="KaiTi" w:eastAsia="KaiTi" w:hAnsi="KaiTi" w:cs="KaiTi"/>
          <w:sz w:val="21"/>
          <w:szCs w:val="21"/>
        </w:rPr>
        <w:t>便士。改革后，银行的工业放款有所增加。如上海商业储蓄银行</w:t>
      </w:r>
      <w:r>
        <w:rPr>
          <w:sz w:val="21"/>
          <w:szCs w:val="21"/>
        </w:rPr>
        <w:t>1936</w:t>
      </w:r>
      <w:r>
        <w:rPr>
          <w:rFonts w:ascii="KaiTi" w:eastAsia="KaiTi" w:hAnsi="KaiTi" w:cs="KaiTi"/>
          <w:sz w:val="21"/>
          <w:szCs w:val="21"/>
        </w:rPr>
        <w:t>年底工业放款金额为</w:t>
      </w:r>
      <w:r>
        <w:rPr>
          <w:sz w:val="21"/>
          <w:szCs w:val="21"/>
        </w:rPr>
        <w:t>3873</w:t>
      </w:r>
      <w:r>
        <w:rPr>
          <w:rFonts w:ascii="KaiTi" w:eastAsia="KaiTi" w:hAnsi="KaiTi" w:cs="KaiTi"/>
          <w:sz w:val="21"/>
          <w:szCs w:val="21"/>
        </w:rPr>
        <w:t>万元，比</w:t>
      </w:r>
      <w:r>
        <w:rPr>
          <w:sz w:val="21"/>
          <w:szCs w:val="21"/>
        </w:rPr>
        <w:t>1926</w:t>
      </w:r>
      <w:r>
        <w:rPr>
          <w:rFonts w:ascii="KaiTi" w:eastAsia="KaiTi" w:hAnsi="KaiTi" w:cs="KaiTi"/>
          <w:sz w:val="21"/>
          <w:szCs w:val="21"/>
        </w:rPr>
        <w:t>年底增长</w:t>
      </w:r>
      <w:r>
        <w:rPr>
          <w:sz w:val="21"/>
          <w:szCs w:val="21"/>
        </w:rPr>
        <w:t>9.7</w:t>
      </w:r>
      <w:r>
        <w:rPr>
          <w:rFonts w:ascii="KaiTi" w:eastAsia="KaiTi" w:hAnsi="KaiTi" w:cs="KaiTi"/>
          <w:sz w:val="21"/>
          <w:szCs w:val="21"/>
        </w:rPr>
        <w:t>倍。同时，仅</w:t>
      </w:r>
      <w:r>
        <w:rPr>
          <w:sz w:val="21"/>
          <w:szCs w:val="21"/>
        </w:rPr>
        <w:t>1937</w:t>
      </w:r>
      <w:r>
        <w:rPr>
          <w:rFonts w:ascii="KaiTi" w:eastAsia="KaiTi" w:hAnsi="KaiTi" w:cs="KaiTi"/>
          <w:sz w:val="21"/>
          <w:szCs w:val="21"/>
        </w:rPr>
        <w:t>年上半年的出口额就达到</w:t>
      </w:r>
      <w:r>
        <w:rPr>
          <w:sz w:val="21"/>
          <w:szCs w:val="21"/>
        </w:rPr>
        <w:t>1935</w:t>
      </w:r>
      <w:r>
        <w:rPr>
          <w:rFonts w:ascii="KaiTi" w:eastAsia="KaiTi" w:hAnsi="KaiTi" w:cs="KaiTi"/>
          <w:sz w:val="21"/>
          <w:szCs w:val="21"/>
        </w:rPr>
        <w:t>年同期的两倍左右。</w:t>
      </w:r>
    </w:p>
    <w:p>
      <w:pPr>
        <w:widowControl w:val="0"/>
        <w:spacing w:before="0" w:after="0" w:line="360" w:lineRule="auto"/>
        <w:jc w:val="right"/>
        <w:rPr>
          <w:sz w:val="21"/>
          <w:szCs w:val="21"/>
        </w:rPr>
      </w:pPr>
      <w:r>
        <w:rPr>
          <w:rFonts w:ascii="KaiTi" w:eastAsia="KaiTi" w:hAnsi="KaiTi" w:cs="KaiTi"/>
          <w:sz w:val="21"/>
          <w:szCs w:val="21"/>
        </w:rPr>
        <w:t>——摘编自李爱《白银危机与中国币制改革——解析国民政府时期政治、经济与外交》</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）根据材料一并结合所学知识，简析明代白银货币化的原因。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）根据材料二、概括指出中世纪英国货币治理的措施。</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）根据材料三并结合所学知识，分析1935年南京国民政府币制改革的影响。</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阅读下列材料，回答问题。</w:t>
      </w:r>
    </w:p>
    <w:p>
      <w:pPr>
        <w:widowControl w:val="0"/>
        <w:spacing w:before="0" w:after="0" w:line="360" w:lineRule="auto"/>
        <w:ind w:firstLine="450"/>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宋代地方实施保甲制度，建立了严密的治安网。同时，保内实行连坐制，同保内犯强盗、杀人、蛊毒等，“知而不告”，依律处置。此外，其他诸如公益活动、社会救助等地方公共事务，则主要依托基层社会力量来完成。北宋吕大钧撰写《吕氏乡约》，并以此建立了一个以道德修养为主要目标的基层自治组织，之后逐渐德润乡里。</w:t>
      </w:r>
      <w:r>
        <w:rPr>
          <w:strike w:val="0"/>
          <w:sz w:val="21"/>
          <w:szCs w:val="21"/>
          <w:u w:val="none"/>
        </w:rPr>
        <w:drawing>
          <wp:inline>
            <wp:extent cx="28575" cy="28575"/>
            <wp:docPr id="10007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right"/>
        <w:rPr>
          <w:sz w:val="21"/>
          <w:szCs w:val="21"/>
        </w:rPr>
      </w:pPr>
      <w:r>
        <w:rPr>
          <w:rFonts w:ascii="KaiTi" w:eastAsia="KaiTi" w:hAnsi="KaiTi" w:cs="KaiTi"/>
          <w:sz w:val="21"/>
          <w:szCs w:val="21"/>
        </w:rPr>
        <w:t>——摘编自王文兵《多元主体参与下的宋代乡村治理问题研究》等</w:t>
      </w:r>
    </w:p>
    <w:p>
      <w:pPr>
        <w:widowControl w:val="0"/>
        <w:spacing w:before="0" w:after="0" w:line="360" w:lineRule="auto"/>
        <w:ind w:firstLine="450"/>
        <w:rPr>
          <w:sz w:val="21"/>
          <w:szCs w:val="21"/>
        </w:rPr>
      </w:pPr>
      <w:r>
        <w:rPr>
          <w:rFonts w:ascii="KaiTi" w:eastAsia="KaiTi" w:hAnsi="KaiTi" w:cs="KaiTi"/>
          <w:sz w:val="21"/>
          <w:szCs w:val="21"/>
        </w:rPr>
        <w:t>材料二</w:t>
      </w:r>
      <w:r>
        <w:rPr>
          <w:rFonts w:ascii="KaiTi" w:eastAsia="KaiTi" w:hAnsi="KaiTi" w:cs="KaiTi"/>
          <w:sz w:val="21"/>
          <w:szCs w:val="21"/>
        </w:rPr>
        <w:t xml:space="preserve">  </w:t>
      </w:r>
      <w:r>
        <w:rPr>
          <w:sz w:val="21"/>
          <w:szCs w:val="21"/>
        </w:rPr>
        <w:t>1980</w:t>
      </w:r>
      <w:r>
        <w:rPr>
          <w:rFonts w:ascii="KaiTi" w:eastAsia="KaiTi" w:hAnsi="KaiTi" w:cs="KaiTi"/>
          <w:sz w:val="21"/>
          <w:szCs w:val="21"/>
        </w:rPr>
        <w:t>年，四川广汉向阳公社率先重建乡政府，开始了政社分开，废止人民公社，建立乡镇政府的进程。</w:t>
      </w:r>
      <w:r>
        <w:rPr>
          <w:sz w:val="21"/>
          <w:szCs w:val="21"/>
        </w:rPr>
        <w:t>1982</w:t>
      </w:r>
      <w:r>
        <w:rPr>
          <w:rFonts w:ascii="KaiTi" w:eastAsia="KaiTi" w:hAnsi="KaiTi" w:cs="KaiTi"/>
          <w:sz w:val="21"/>
          <w:szCs w:val="21"/>
        </w:rPr>
        <w:t>年，广西壮族自治区合寨村村民在党组织的领导下，选举产生了第一个村委会成员，迈出了村民自治的第一步。</w:t>
      </w:r>
      <w:r>
        <w:rPr>
          <w:sz w:val="21"/>
          <w:szCs w:val="21"/>
        </w:rPr>
        <w:t>1982</w:t>
      </w:r>
      <w:r>
        <w:rPr>
          <w:rFonts w:ascii="KaiTi" w:eastAsia="KaiTi" w:hAnsi="KaiTi" w:cs="KaiTi"/>
          <w:sz w:val="21"/>
          <w:szCs w:val="21"/>
        </w:rPr>
        <w:t>年宪法确立了乡镇政府作为基层国家政权的政治地位，村民委员会是群众自治组织。村委会的建立使得农民成为乡村治理的主体。随着市场经济的不断发展，市场组织、社会组织也成为乡村治理的主体。十八大之后，新型城镇化战略更明确地站在统筹城乡的角度上，以城乡一体化为目标，对农村的政治、经济等各个方面进行了全面部署。</w:t>
      </w:r>
    </w:p>
    <w:p>
      <w:pPr>
        <w:widowControl w:val="0"/>
        <w:spacing w:before="0" w:after="0" w:line="360" w:lineRule="auto"/>
        <w:jc w:val="right"/>
        <w:rPr>
          <w:sz w:val="21"/>
          <w:szCs w:val="21"/>
        </w:rPr>
      </w:pPr>
      <w:r>
        <w:rPr>
          <w:rFonts w:ascii="KaiTi" w:eastAsia="KaiTi" w:hAnsi="KaiTi" w:cs="KaiTi"/>
          <w:sz w:val="21"/>
          <w:szCs w:val="21"/>
        </w:rPr>
        <w:t>——摘编自刘新《新中国成立70年以来乡村治理的历程与发展》</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）根据材料一并结合所学知识，概括宋代乡村治理的表现。</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）根据材料二并结合所学知识，概括改革开放后中国乡村治理新发展，并指出中国农村基层治理的经验。</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材料</w:t>
      </w:r>
      <w:r>
        <w:rPr>
          <w:rFonts w:ascii="KaiTi" w:eastAsia="KaiTi" w:hAnsi="KaiTi" w:cs="KaiTi"/>
          <w:sz w:val="21"/>
          <w:szCs w:val="21"/>
        </w:rPr>
        <w:t xml:space="preserve">  </w:t>
      </w:r>
      <w:r>
        <w:rPr>
          <w:sz w:val="21"/>
          <w:szCs w:val="21"/>
        </w:rPr>
        <w:t>1500</w:t>
      </w:r>
      <w:r>
        <w:rPr>
          <w:rFonts w:ascii="KaiTi" w:eastAsia="KaiTi" w:hAnsi="KaiTi" w:cs="KaiTi"/>
          <w:sz w:val="21"/>
          <w:szCs w:val="21"/>
        </w:rPr>
        <w:t>年到</w:t>
      </w:r>
      <w:r>
        <w:rPr>
          <w:sz w:val="21"/>
          <w:szCs w:val="21"/>
        </w:rPr>
        <w:t>1800</w:t>
      </w:r>
      <w:r>
        <w:rPr>
          <w:rFonts w:ascii="KaiTi" w:eastAsia="KaiTi" w:hAnsi="KaiTi" w:cs="KaiTi"/>
          <w:sz w:val="21"/>
          <w:szCs w:val="21"/>
        </w:rPr>
        <w:t>年间的几个世纪中所刮起的洲际物种交流之风给世界各地带来了惊人的变化。它在不适应人群疾病的土地上酿成了人口锐减的灾难；它也几乎在世界各地提高了食物供应的数量和可靠性；在那些从前没有马类的地区，它还通过提供新的战争手段改组了当地的政治关系。</w:t>
      </w:r>
    </w:p>
    <w:p>
      <w:pPr>
        <w:widowControl w:val="0"/>
        <w:spacing w:before="0" w:after="0" w:line="360" w:lineRule="auto"/>
        <w:ind w:firstLine="420"/>
        <w:jc w:val="right"/>
        <w:rPr>
          <w:sz w:val="21"/>
          <w:szCs w:val="21"/>
        </w:rPr>
      </w:pPr>
      <w:r>
        <w:rPr>
          <w:rFonts w:ascii="KaiTi" w:eastAsia="KaiTi" w:hAnsi="KaiTi" w:cs="KaiTi"/>
          <w:sz w:val="21"/>
          <w:szCs w:val="21"/>
        </w:rPr>
        <w:t>——摘编自（美）约翰·麦克尼尔《世界历史中的物种交流》</w:t>
      </w:r>
    </w:p>
    <w:p>
      <w:pPr>
        <w:widowControl w:val="0"/>
        <w:spacing w:before="0" w:after="0" w:line="360" w:lineRule="auto"/>
        <w:rPr>
          <w:sz w:val="21"/>
          <w:szCs w:val="21"/>
        </w:rPr>
      </w:pPr>
      <w:r>
        <w:rPr>
          <w:rFonts w:ascii="SimSun" w:eastAsia="SimSun" w:hAnsi="SimSun" w:cs="SimSun"/>
          <w:sz w:val="21"/>
          <w:szCs w:val="21"/>
        </w:rPr>
        <w:t>结合</w:t>
      </w:r>
      <w:r>
        <w:rPr>
          <w:sz w:val="21"/>
          <w:szCs w:val="21"/>
        </w:rPr>
        <w:t>1500</w:t>
      </w:r>
      <w:r>
        <w:rPr>
          <w:rFonts w:ascii="SimSun" w:eastAsia="SimSun" w:hAnsi="SimSun" w:cs="SimSun"/>
          <w:sz w:val="21"/>
          <w:szCs w:val="21"/>
        </w:rPr>
        <w:t>—</w:t>
      </w:r>
      <w:r>
        <w:rPr>
          <w:sz w:val="21"/>
          <w:szCs w:val="21"/>
        </w:rPr>
        <w:t>1800</w:t>
      </w:r>
      <w:r>
        <w:rPr>
          <w:rFonts w:ascii="SimSun" w:eastAsia="SimSun" w:hAnsi="SimSun" w:cs="SimSun"/>
          <w:sz w:val="21"/>
          <w:szCs w:val="21"/>
        </w:rPr>
        <w:t>年物种交流的史实，选择材料中的任一观点或者提出自己的观点，拟定一个论题，并就所拟论题进行简要论述。（要求：论题明确，史论结合，论证充分，表达清晰）</w:t>
      </w:r>
    </w:p>
    <w:p>
      <w:pPr>
        <w:widowControl w:val="0"/>
        <w:spacing w:before="0" w:after="0" w:line="360" w:lineRule="auto"/>
        <w:rPr>
          <w:sz w:val="21"/>
          <w:szCs w:val="21"/>
        </w:rPr>
      </w:pPr>
      <w:r>
        <w:rPr>
          <w:strike w:val="0"/>
          <w:sz w:val="21"/>
          <w:szCs w:val="21"/>
          <w:u w:val="none"/>
        </w:rPr>
        <w:drawing>
          <wp:inline>
            <wp:extent cx="28575" cy="28575"/>
            <wp:docPr id="100093"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9.png"/><Relationship Id="rId12" Type="http://schemas.openxmlformats.org/officeDocument/2006/relationships/image" Target="media/image10.png"/><Relationship Id="rId16" Type="http://schemas.openxmlformats.org/officeDocument/2006/relationships/theme" Target="theme/theme1.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image" Target="media/image7.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