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286" w:lineRule="auto"/>
      </w:pPr>
      <w:r>
        <w:rPr>
          <w:strike w:val="0"/>
          <w:u w:val="none"/>
        </w:rPr>
        <w:drawing>
          <wp:anchor simplePos="0" relativeHeight="251658240" behindDoc="0" locked="0" layoutInCell="1" allowOverlap="1">
            <wp:simplePos x="0" y="0"/>
            <wp:positionH relativeFrom="page">
              <wp:posOffset>12217400</wp:posOffset>
            </wp:positionH>
            <wp:positionV relativeFrom="topMargin">
              <wp:posOffset>10299700</wp:posOffset>
            </wp:positionV>
            <wp:extent cx="295275" cy="295275"/>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295275" cy="295275"/>
                    </a:xfrm>
                    <a:prstGeom prst="rect">
                      <a:avLst/>
                    </a:prstGeom>
                  </pic:spPr>
                </pic:pic>
              </a:graphicData>
            </a:graphic>
          </wp:anchor>
        </w:drawing>
      </w:r>
      <w:r>
        <w:rPr>
          <w:rFonts w:ascii="SimSun" w:eastAsia="SimSun" w:hAnsi="SimSun" w:cs="SimSun"/>
          <w:b/>
          <w:bCs/>
        </w:rPr>
        <w:t>参照机密级管理★启用前</w:t>
      </w:r>
    </w:p>
    <w:p>
      <w:pPr>
        <w:widowControl w:val="0"/>
        <w:spacing w:before="0" w:after="0" w:line="286" w:lineRule="auto"/>
        <w:jc w:val="center"/>
        <w:rPr>
          <w:sz w:val="32"/>
          <w:szCs w:val="32"/>
        </w:rPr>
      </w:pPr>
      <w:r>
        <w:rPr>
          <w:rFonts w:ascii="SimSun" w:eastAsia="SimSun" w:hAnsi="SimSun" w:cs="SimSun"/>
          <w:b/>
          <w:bCs/>
          <w:sz w:val="32"/>
          <w:szCs w:val="32"/>
        </w:rPr>
        <w:t>河南省</w:t>
      </w:r>
      <w:r>
        <w:rPr>
          <w:b/>
          <w:bCs/>
          <w:sz w:val="32"/>
          <w:szCs w:val="32"/>
        </w:rPr>
        <w:t>2025</w:t>
      </w:r>
      <w:r>
        <w:rPr>
          <w:rFonts w:ascii="SimSun" w:eastAsia="SimSun" w:hAnsi="SimSun" w:cs="SimSun"/>
          <w:b/>
          <w:bCs/>
          <w:sz w:val="32"/>
          <w:szCs w:val="32"/>
        </w:rPr>
        <w:t>年高考综合改革适应性演练</w:t>
      </w:r>
    </w:p>
    <w:p>
      <w:pPr>
        <w:widowControl w:val="0"/>
        <w:spacing w:before="0" w:after="0" w:line="286" w:lineRule="auto"/>
        <w:jc w:val="center"/>
        <w:rPr>
          <w:sz w:val="32"/>
          <w:szCs w:val="32"/>
        </w:rPr>
      </w:pPr>
      <w:r>
        <w:rPr>
          <w:rFonts w:ascii="SimSun" w:eastAsia="SimSun" w:hAnsi="SimSun" w:cs="SimSun"/>
          <w:b/>
          <w:bCs/>
          <w:sz w:val="32"/>
          <w:szCs w:val="32"/>
        </w:rPr>
        <w:t>思想政治</w:t>
      </w:r>
    </w:p>
    <w:p>
      <w:pPr>
        <w:widowControl w:val="0"/>
        <w:spacing w:before="0" w:after="0" w:line="286" w:lineRule="auto"/>
      </w:pPr>
      <w:r>
        <w:rPr>
          <w:rFonts w:ascii="SimSun" w:eastAsia="SimSun" w:hAnsi="SimSun" w:cs="SimSun"/>
          <w:b/>
          <w:bCs/>
        </w:rPr>
        <w:t>注意事项：</w:t>
      </w:r>
    </w:p>
    <w:p>
      <w:pPr>
        <w:widowControl w:val="0"/>
        <w:spacing w:before="0" w:after="0" w:line="286" w:lineRule="auto"/>
      </w:pPr>
      <w:r>
        <w:rPr>
          <w:b/>
          <w:bCs/>
        </w:rPr>
        <w:t>1</w:t>
      </w:r>
      <w:r>
        <w:rPr>
          <w:rFonts w:ascii="SimSun" w:eastAsia="SimSun" w:hAnsi="SimSun" w:cs="SimSun"/>
          <w:b/>
          <w:bCs/>
        </w:rPr>
        <w:t>．答卷前，考生务必将自己的姓名、考生号等填写在答题卡上。</w:t>
      </w:r>
    </w:p>
    <w:p>
      <w:pPr>
        <w:widowControl w:val="0"/>
        <w:spacing w:before="0" w:after="0" w:line="286" w:lineRule="auto"/>
      </w:pPr>
      <w:r>
        <w:rPr>
          <w:b/>
          <w:bCs/>
        </w:rPr>
        <w:t>2</w:t>
      </w:r>
      <w:r>
        <w:rPr>
          <w:rFonts w:ascii="SimSun" w:eastAsia="SimSun" w:hAnsi="SimSun" w:cs="SimSun"/>
          <w:b/>
          <w:bCs/>
        </w:rPr>
        <w:t>．回答选择题时，选出每小题答案后，用铅笔把答题卡上对应题目的答案标号涂黑。如需改动，用橡皮擦干净后，再选涂其他答案标号。回答非选择题时，将答案写在答题卡上。写在本试卷上无效。</w:t>
      </w:r>
    </w:p>
    <w:p>
      <w:pPr>
        <w:widowControl w:val="0"/>
        <w:spacing w:before="0" w:after="0" w:line="286" w:lineRule="auto"/>
      </w:pPr>
      <w:r>
        <w:rPr>
          <w:b/>
          <w:bCs/>
        </w:rPr>
        <w:t>3</w:t>
      </w:r>
      <w:r>
        <w:rPr>
          <w:rFonts w:ascii="SimSun" w:eastAsia="SimSun" w:hAnsi="SimSun" w:cs="SimSun"/>
          <w:b/>
          <w:bCs/>
        </w:rPr>
        <w:t>．考试结束后，将本试卷和答题卡一并交回。</w:t>
      </w:r>
    </w:p>
    <w:p>
      <w:pPr>
        <w:widowControl w:val="0"/>
        <w:spacing w:before="0" w:after="0" w:line="286" w:lineRule="auto"/>
      </w:pPr>
      <w:r>
        <w:rPr>
          <w:rFonts w:ascii="SimSun" w:eastAsia="SimSun" w:hAnsi="SimSun" w:cs="SimSun"/>
          <w:b/>
          <w:bCs/>
        </w:rPr>
        <w:t>一、选择题：本题共</w:t>
      </w:r>
      <w:r>
        <w:rPr>
          <w:b/>
          <w:bCs/>
        </w:rPr>
        <w:t>15</w:t>
      </w:r>
      <w:r>
        <w:rPr>
          <w:rFonts w:ascii="SimSun" w:eastAsia="SimSun" w:hAnsi="SimSun" w:cs="SimSun"/>
          <w:b/>
          <w:bCs/>
        </w:rPr>
        <w:t>小题，每小题</w:t>
      </w:r>
      <w:r>
        <w:rPr>
          <w:b/>
          <w:bCs/>
        </w:rPr>
        <w:t>3</w:t>
      </w:r>
      <w:r>
        <w:rPr>
          <w:rFonts w:ascii="SimSun" w:eastAsia="SimSun" w:hAnsi="SimSun" w:cs="SimSun"/>
          <w:b/>
          <w:bCs/>
        </w:rPr>
        <w:t>分，共</w:t>
      </w:r>
      <w:r>
        <w:rPr>
          <w:b/>
          <w:bCs/>
        </w:rPr>
        <w:t>45</w:t>
      </w:r>
      <w:r>
        <w:rPr>
          <w:rFonts w:ascii="SimSun" w:eastAsia="SimSun" w:hAnsi="SimSun" w:cs="SimSun"/>
          <w:b/>
          <w:bCs/>
        </w:rPr>
        <w:t>分。在每小题给出的四个选项中，只有一项是符合题目要求的。</w:t>
      </w:r>
    </w:p>
    <w:p>
      <w:pPr>
        <w:widowControl w:val="0"/>
        <w:spacing w:before="0" w:after="0" w:line="360" w:lineRule="auto"/>
        <w:rPr>
          <w:sz w:val="21"/>
          <w:szCs w:val="21"/>
        </w:rPr>
      </w:pPr>
      <w:r>
        <w:rPr>
          <w:sz w:val="21"/>
          <w:szCs w:val="21"/>
        </w:rPr>
        <w:t xml:space="preserve">1. </w:t>
      </w:r>
      <w:r>
        <w:rPr>
          <w:rFonts w:ascii="SimSun" w:eastAsia="SimSun" w:hAnsi="SimSun" w:cs="SimSun"/>
          <w:sz w:val="21"/>
          <w:szCs w:val="21"/>
        </w:rPr>
        <w:t>马克思、恩格斯在《共产党宣言》中指出，空想社会主义的著作“抨击现存社会的全部基础。因此，它们提供了启发工人觉悟的极为宝贵的材料。它们关于未来社会的积极的主张，……都只是表明要消灭阶级对立，而这种阶级对立在当时刚刚开始发展，它们所知道的只是这种对立的早期的、不明显的、不确定的形式”。可见，空想社会主义（</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①找到了变革资本主义社会最坚定的力量</w:t>
      </w:r>
    </w:p>
    <w:p>
      <w:pPr>
        <w:widowControl w:val="0"/>
        <w:spacing w:before="0" w:after="0" w:line="360" w:lineRule="auto"/>
        <w:rPr>
          <w:sz w:val="21"/>
          <w:szCs w:val="21"/>
        </w:rPr>
      </w:pPr>
      <w:r>
        <w:rPr>
          <w:rFonts w:ascii="SimSun" w:eastAsia="SimSun" w:hAnsi="SimSun" w:cs="SimSun"/>
          <w:sz w:val="21"/>
          <w:szCs w:val="21"/>
        </w:rPr>
        <w:t>②反映了当时社会中日益显现的阶级矛盾</w:t>
      </w:r>
    </w:p>
    <w:p>
      <w:pPr>
        <w:widowControl w:val="0"/>
        <w:spacing w:before="0" w:after="0" w:line="360" w:lineRule="auto"/>
        <w:rPr>
          <w:sz w:val="21"/>
          <w:szCs w:val="21"/>
        </w:rPr>
      </w:pPr>
      <w:r>
        <w:rPr>
          <w:rFonts w:ascii="SimSun" w:eastAsia="SimSun" w:hAnsi="SimSun" w:cs="SimSun"/>
          <w:sz w:val="21"/>
          <w:szCs w:val="21"/>
        </w:rPr>
        <w:t>③发现了资本主义社会一切矛盾和冲突的总根源</w:t>
      </w:r>
    </w:p>
    <w:p>
      <w:pPr>
        <w:widowControl w:val="0"/>
        <w:spacing w:before="0" w:after="0" w:line="360" w:lineRule="auto"/>
        <w:rPr>
          <w:sz w:val="21"/>
          <w:szCs w:val="21"/>
        </w:rPr>
      </w:pPr>
      <w:r>
        <w:rPr>
          <w:rFonts w:ascii="SimSun" w:eastAsia="SimSun" w:hAnsi="SimSun" w:cs="SimSun"/>
          <w:sz w:val="21"/>
          <w:szCs w:val="21"/>
        </w:rPr>
        <w:t>④对当时社会的批判为无产阶级提供了有益启发</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【详解】①：空想社会主义没有找到变革资本主义社会最坚定的力量，这个最坚定的力量是无产阶级，而空想社会主义没有认识到无产阶级的历史使命，①排除。</w:t>
      </w:r>
    </w:p>
    <w:p>
      <w:pPr>
        <w:widowControl w:val="0"/>
        <w:spacing w:before="0" w:after="0" w:line="360" w:lineRule="auto"/>
        <w:rPr>
          <w:sz w:val="21"/>
          <w:szCs w:val="21"/>
        </w:rPr>
      </w:pPr>
      <w:r>
        <w:rPr>
          <w:rFonts w:ascii="SimSun" w:eastAsia="SimSun" w:hAnsi="SimSun" w:cs="SimSun"/>
          <w:sz w:val="21"/>
          <w:szCs w:val="21"/>
        </w:rPr>
        <w:t>②：空想社会主义抨击现存社会的全部基础，这反映了当时社会中日益显现的阶级矛盾，因为当时资本主义社会的阶级矛盾已经开始发展，②正确。</w:t>
      </w:r>
    </w:p>
    <w:p>
      <w:pPr>
        <w:widowControl w:val="0"/>
        <w:spacing w:before="0" w:after="0" w:line="360" w:lineRule="auto"/>
        <w:rPr>
          <w:sz w:val="21"/>
          <w:szCs w:val="21"/>
        </w:rPr>
      </w:pPr>
      <w:r>
        <w:rPr>
          <w:rFonts w:ascii="SimSun" w:eastAsia="SimSun" w:hAnsi="SimSun" w:cs="SimSun"/>
          <w:sz w:val="21"/>
          <w:szCs w:val="21"/>
        </w:rPr>
        <w:t>③：空想社会主义没有发现资本主义社会一切矛盾和冲突的总根源，资本主义社会基本矛盾即生产的社会化和生产资料的资本主义私人占有之间的矛盾是马克思主义揭示的，③排除。</w:t>
      </w:r>
    </w:p>
    <w:p>
      <w:pPr>
        <w:widowControl w:val="0"/>
        <w:spacing w:before="0" w:after="0" w:line="360" w:lineRule="auto"/>
        <w:rPr>
          <w:sz w:val="21"/>
          <w:szCs w:val="21"/>
        </w:rPr>
      </w:pPr>
      <w:r>
        <w:rPr>
          <w:rFonts w:ascii="SimSun" w:eastAsia="SimSun" w:hAnsi="SimSun" w:cs="SimSun"/>
          <w:sz w:val="21"/>
          <w:szCs w:val="21"/>
        </w:rPr>
        <w:t>④：空想社会主义提供了启发工人觉悟的极为宝贵的材料，这表明它对当时社会的批判为无产阶级提供了有益启发，④正确。</w:t>
      </w:r>
    </w:p>
    <w:p>
      <w:pPr>
        <w:widowControl w:val="0"/>
        <w:spacing w:before="0" w:after="0" w:line="360" w:lineRule="auto"/>
        <w:rPr>
          <w:sz w:val="21"/>
          <w:szCs w:val="21"/>
        </w:rPr>
      </w:pPr>
      <w:r>
        <w:rPr>
          <w:rFonts w:ascii="SimSun" w:eastAsia="SimSun" w:hAnsi="SimSun" w:cs="SimSun"/>
          <w:sz w:val="21"/>
          <w:szCs w:val="21"/>
        </w:rPr>
        <w:t>故本题选C。</w:t>
      </w:r>
      <w:r>
        <w:rPr>
          <w:strike w:val="0"/>
          <w:sz w:val="21"/>
          <w:szCs w:val="21"/>
          <w:u w:val="none"/>
        </w:rPr>
        <w:drawing>
          <wp:inline>
            <wp:extent cx="28575" cy="28575"/>
            <wp:docPr id="100011"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党的十一届三中全会以来，我国在改革中加强制度建设，解决了一个又一个问题，保障了经济快速发展和社会长期稳定。党的二十届三中全会深刻总结改革开放以来特别是新时代全面深化改革的宝贵经验，将“坚持以制度建设为主线”确定为进一步全面深化改革必须贯彻的一个重大原则。确定这一原则是基于（</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①制度优势是一个国家</w:t>
      </w:r>
      <w:r>
        <w:rPr>
          <w:strike w:val="0"/>
          <w:sz w:val="21"/>
          <w:szCs w:val="21"/>
          <w:u w:val="none"/>
        </w:rPr>
        <w:drawing>
          <wp:inline>
            <wp:extent cx="133350" cy="180975"/>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7"/>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最大优势</w:t>
      </w:r>
    </w:p>
    <w:p>
      <w:pPr>
        <w:widowControl w:val="0"/>
        <w:spacing w:before="0" w:after="0" w:line="360" w:lineRule="auto"/>
        <w:rPr>
          <w:sz w:val="21"/>
          <w:szCs w:val="21"/>
        </w:rPr>
      </w:pPr>
      <w:r>
        <w:rPr>
          <w:rFonts w:ascii="SimSun" w:eastAsia="SimSun" w:hAnsi="SimSun" w:cs="SimSun"/>
          <w:sz w:val="21"/>
          <w:szCs w:val="21"/>
        </w:rPr>
        <w:t>②中国特色社会主义各领域基础性制度框架基本确立</w:t>
      </w:r>
    </w:p>
    <w:p>
      <w:pPr>
        <w:widowControl w:val="0"/>
        <w:spacing w:before="0" w:after="0" w:line="360" w:lineRule="auto"/>
        <w:rPr>
          <w:sz w:val="21"/>
          <w:szCs w:val="21"/>
        </w:rPr>
      </w:pPr>
      <w:r>
        <w:rPr>
          <w:rFonts w:ascii="SimSun" w:eastAsia="SimSun" w:hAnsi="SimSun" w:cs="SimSun"/>
          <w:sz w:val="21"/>
          <w:szCs w:val="21"/>
        </w:rPr>
        <w:t>③制度建设是全面建设社会主义现代化国家的首要任务</w:t>
      </w:r>
    </w:p>
    <w:p>
      <w:pPr>
        <w:widowControl w:val="0"/>
        <w:spacing w:before="0" w:after="0" w:line="360" w:lineRule="auto"/>
        <w:rPr>
          <w:sz w:val="21"/>
          <w:szCs w:val="21"/>
        </w:rPr>
      </w:pPr>
      <w:r>
        <w:rPr>
          <w:rFonts w:ascii="SimSun" w:eastAsia="SimSun" w:hAnsi="SimSun" w:cs="SimSun"/>
          <w:sz w:val="21"/>
          <w:szCs w:val="21"/>
        </w:rPr>
        <w:t>④制度是关系党和国家事业发展的根本性、全局性、稳定性、长期性的问题</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rFonts w:ascii="Cambria Math" w:eastAsia="Cambria Math" w:hAnsi="Cambria Math" w:cs="Cambria Math"/>
          <w:sz w:val="21"/>
          <w:szCs w:val="21"/>
        </w:rPr>
        <w:t>①④</w:t>
      </w:r>
      <w:r>
        <w:rPr>
          <w:rFonts w:ascii="SimSun" w:eastAsia="SimSun" w:hAnsi="SimSun" w:cs="SimSun"/>
          <w:sz w:val="21"/>
          <w:szCs w:val="21"/>
        </w:rPr>
        <w:t>：将“坚持以制度建设为主线”确定为进一步全面深化改革必须贯彻的一个重大原则。确定这一原则是基于制度是关系党和国家事业发展的根本性、全局性、稳定性、长期性的问题，制度优势是一个国家的最大优势，</w:t>
      </w:r>
      <w:r>
        <w:rPr>
          <w:rFonts w:ascii="Cambria Math" w:eastAsia="Cambria Math" w:hAnsi="Cambria Math" w:cs="Cambria Math"/>
          <w:sz w:val="21"/>
          <w:szCs w:val="21"/>
        </w:rPr>
        <w:t>①④</w:t>
      </w:r>
      <w:r>
        <w:rPr>
          <w:rFonts w:ascii="SimSun" w:eastAsia="SimSun" w:hAnsi="SimSun" w:cs="SimSun"/>
          <w:sz w:val="21"/>
          <w:szCs w:val="21"/>
        </w:rPr>
        <w:t>符合题意。</w:t>
      </w:r>
    </w:p>
    <w:p>
      <w:pPr>
        <w:widowControl w:val="0"/>
        <w:spacing w:before="0" w:after="0" w:line="360" w:lineRule="auto"/>
        <w:rPr>
          <w:sz w:val="21"/>
          <w:szCs w:val="21"/>
        </w:rPr>
      </w:pPr>
      <w:r>
        <w:rPr>
          <w:rFonts w:ascii="SimSun" w:eastAsia="SimSun" w:hAnsi="SimSun" w:cs="SimSun"/>
          <w:sz w:val="21"/>
          <w:szCs w:val="21"/>
        </w:rPr>
        <w:t>②：“中国特色社会主义各领域基础性制度框架基本确立”不是“坚持以制度建设为主线”的原因，不构成因果关系，②排除。</w:t>
      </w:r>
    </w:p>
    <w:p>
      <w:pPr>
        <w:widowControl w:val="0"/>
        <w:spacing w:before="0" w:after="0" w:line="360" w:lineRule="auto"/>
        <w:rPr>
          <w:sz w:val="21"/>
          <w:szCs w:val="21"/>
        </w:rPr>
      </w:pPr>
      <w:r>
        <w:rPr>
          <w:rFonts w:ascii="Cambria Math" w:eastAsia="Cambria Math" w:hAnsi="Cambria Math" w:cs="Cambria Math"/>
          <w:sz w:val="21"/>
          <w:szCs w:val="21"/>
        </w:rPr>
        <w:t>③</w:t>
      </w:r>
      <w:r>
        <w:rPr>
          <w:rFonts w:ascii="SimSun" w:eastAsia="SimSun" w:hAnsi="SimSun" w:cs="SimSun"/>
          <w:sz w:val="21"/>
          <w:szCs w:val="21"/>
        </w:rPr>
        <w:t>：高质量发展是全面建设社会主义现代化国家的首要任务，</w:t>
      </w:r>
      <w:r>
        <w:rPr>
          <w:rFonts w:ascii="Cambria Math" w:eastAsia="Cambria Math" w:hAnsi="Cambria Math" w:cs="Cambria Math"/>
          <w:sz w:val="21"/>
          <w:szCs w:val="21"/>
        </w:rPr>
        <w:t>③</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故本题选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3. </w:t>
      </w:r>
      <w:r>
        <w:rPr>
          <w:rFonts w:ascii="SimSun" w:eastAsia="SimSun" w:hAnsi="SimSun" w:cs="SimSun"/>
          <w:sz w:val="21"/>
          <w:szCs w:val="21"/>
        </w:rPr>
        <w:t>在外部环境更趋复杂严峻、国内经济下行压力有所加大的情况下，我国民营企业依然向好向新发展。下列图表反映了</w:t>
      </w:r>
      <w:r>
        <w:rPr>
          <w:sz w:val="21"/>
          <w:szCs w:val="21"/>
        </w:rPr>
        <w:t>2023</w:t>
      </w:r>
      <w:r>
        <w:rPr>
          <w:rFonts w:ascii="SimSun" w:eastAsia="SimSun" w:hAnsi="SimSun" w:cs="SimSun"/>
          <w:sz w:val="21"/>
          <w:szCs w:val="21"/>
        </w:rPr>
        <w:t>年中国民营企业</w:t>
      </w:r>
      <w:r>
        <w:rPr>
          <w:sz w:val="21"/>
          <w:szCs w:val="21"/>
        </w:rPr>
        <w:t>500</w:t>
      </w:r>
      <w:r>
        <w:rPr>
          <w:rFonts w:ascii="SimSun" w:eastAsia="SimSun" w:hAnsi="SimSun" w:cs="SimSun"/>
          <w:sz w:val="21"/>
          <w:szCs w:val="21"/>
        </w:rPr>
        <w:t>强的发展状况。</w:t>
      </w:r>
    </w:p>
    <w:tbl>
      <w:tblPr>
        <w:tblW w:w="832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779"/>
        <w:gridCol w:w="2004"/>
        <w:gridCol w:w="2087"/>
        <w:gridCol w:w="2424"/>
      </w:tblGrid>
      <w:tr>
        <w:tblPrEx>
          <w:tblW w:w="832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W w:w="2070" w:type="dxa"/>
            <w:vMerge w:val="restart"/>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项目</w:t>
            </w:r>
          </w:p>
        </w:tc>
        <w:tc>
          <w:tcPr>
            <w:tcW w:w="2070" w:type="dxa"/>
            <w:vMerge w:val="restart"/>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总额（万亿元）</w:t>
            </w:r>
          </w:p>
        </w:tc>
        <w:tc>
          <w:tcPr>
            <w:tcW w:w="4155" w:type="dxa"/>
            <w:gridSpan w:val="2"/>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户均</w:t>
            </w:r>
          </w:p>
        </w:tc>
      </w:tr>
      <w:tr>
        <w:tblPrEx>
          <w:tblW w:w="8325" w:type="dxa"/>
          <w:tblInd w:w="128" w:type="dxa"/>
          <w:tblCellMar>
            <w:top w:w="0" w:type="dxa"/>
            <w:left w:w="0" w:type="dxa"/>
            <w:bottom w:w="0" w:type="dxa"/>
            <w:right w:w="0" w:type="dxa"/>
          </w:tblCellMar>
        </w:tblPrEx>
        <w:tc>
          <w:tcPr>
            <w:vMerge/>
            <w:tcBorders>
              <w:bottom w:val="single" w:sz="6" w:space="0" w:color="000000"/>
              <w:right w:val="single" w:sz="6" w:space="0" w:color="000000"/>
            </w:tcBorders>
            <w:vAlign w:val="center"/>
            <w:hideMark/>
          </w:tcPr>
          <w:p>
            <w:pPr>
              <w:rPr>
                <w:rFonts w:ascii="SimSun" w:eastAsia="SimSun" w:hAnsi="SimSun" w:cs="SimSun"/>
                <w:b w:val="0"/>
                <w:bCs w:val="0"/>
                <w:i w:val="0"/>
                <w:iCs w:val="0"/>
                <w:smallCaps w:val="0"/>
                <w:color w:val="000000"/>
                <w:sz w:val="21"/>
                <w:szCs w:val="21"/>
              </w:rPr>
            </w:pPr>
          </w:p>
        </w:tc>
        <w:tc>
          <w:tcPr>
            <w:vMerge/>
            <w:tcBorders>
              <w:left w:val="single" w:sz="6" w:space="0" w:color="000000"/>
              <w:bottom w:val="single" w:sz="6" w:space="0" w:color="000000"/>
              <w:right w:val="single" w:sz="6" w:space="0" w:color="000000"/>
            </w:tcBorders>
            <w:vAlign w:val="center"/>
            <w:hideMark/>
          </w:tcPr>
          <w:p>
            <w:pPr>
              <w:rPr>
                <w:rFonts w:ascii="SimSun" w:eastAsia="SimSun" w:hAnsi="SimSun" w:cs="SimSun"/>
                <w:b w:val="0"/>
                <w:bCs w:val="0"/>
                <w:i w:val="0"/>
                <w:iCs w:val="0"/>
                <w:smallCaps w:val="0"/>
                <w:color w:val="000000"/>
                <w:sz w:val="21"/>
                <w:szCs w:val="21"/>
              </w:rPr>
            </w:pPr>
          </w:p>
        </w:tc>
        <w:tc>
          <w:tcPr>
            <w:tcW w:w="249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金额（亿元）</w:t>
            </w:r>
          </w:p>
        </w:tc>
        <w:tc>
          <w:tcPr>
            <w:tcW w:w="249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金额较上年增长率（</w:t>
            </w:r>
            <w:r>
              <w:rPr>
                <w:b w:val="0"/>
                <w:bCs w:val="0"/>
                <w:i w:val="0"/>
                <w:iCs w:val="0"/>
                <w:smallCaps w:val="0"/>
                <w:color w:val="000000"/>
                <w:sz w:val="21"/>
                <w:szCs w:val="21"/>
              </w:rPr>
              <w:t>%</w:t>
            </w:r>
            <w:r>
              <w:rPr>
                <w:rFonts w:ascii="SimSun" w:eastAsia="SimSun" w:hAnsi="SimSun" w:cs="SimSun"/>
                <w:b w:val="0"/>
                <w:bCs w:val="0"/>
                <w:i w:val="0"/>
                <w:iCs w:val="0"/>
                <w:smallCaps w:val="0"/>
                <w:color w:val="000000"/>
                <w:sz w:val="21"/>
                <w:szCs w:val="21"/>
              </w:rPr>
              <w:t>）</w:t>
            </w:r>
          </w:p>
        </w:tc>
      </w:tr>
      <w:tr>
        <w:tblPrEx>
          <w:tblW w:w="8325" w:type="dxa"/>
          <w:tblInd w:w="128" w:type="dxa"/>
          <w:tblCellMar>
            <w:top w:w="0" w:type="dxa"/>
            <w:left w:w="0" w:type="dxa"/>
            <w:bottom w:w="0" w:type="dxa"/>
            <w:right w:w="0" w:type="dxa"/>
          </w:tblCellMar>
        </w:tblPrEx>
        <w:tc>
          <w:tcPr>
            <w:tcW w:w="207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营业收入</w:t>
            </w:r>
          </w:p>
        </w:tc>
        <w:tc>
          <w:tcPr>
            <w:tcW w:w="207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41.91</w:t>
            </w:r>
          </w:p>
        </w:tc>
        <w:tc>
          <w:tcPr>
            <w:tcW w:w="207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838</w:t>
            </w:r>
            <w:r>
              <w:rPr>
                <w:b w:val="0"/>
                <w:bCs w:val="0"/>
                <w:i w:val="0"/>
                <w:iCs w:val="0"/>
                <w:smallCaps w:val="0"/>
                <w:strike w:val="0"/>
                <w:color w:val="000000"/>
                <w:sz w:val="21"/>
                <w:szCs w:val="21"/>
                <w:u w:val="none"/>
              </w:rPr>
              <w:drawing>
                <wp:inline>
                  <wp:extent cx="38100" cy="95250"/>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8"/>
                          <a:stretch>
                            <a:fillRect/>
                          </a:stretch>
                        </pic:blipFill>
                        <pic:spPr>
                          <a:xfrm>
                            <a:off x="0" y="0"/>
                            <a:ext cx="38100" cy="95250"/>
                          </a:xfrm>
                          <a:prstGeom prst="rect">
                            <a:avLst/>
                          </a:prstGeom>
                        </pic:spPr>
                      </pic:pic>
                    </a:graphicData>
                  </a:graphic>
                </wp:inline>
              </w:drawing>
            </w:r>
            <w:r>
              <w:rPr>
                <w:b w:val="0"/>
                <w:bCs w:val="0"/>
                <w:i w:val="0"/>
                <w:iCs w:val="0"/>
                <w:smallCaps w:val="0"/>
                <w:color w:val="000000"/>
                <w:sz w:val="21"/>
                <w:szCs w:val="21"/>
              </w:rPr>
              <w:t>22</w:t>
            </w:r>
          </w:p>
        </w:tc>
        <w:tc>
          <w:tcPr>
            <w:tcW w:w="207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5.22</w:t>
            </w:r>
          </w:p>
        </w:tc>
      </w:tr>
      <w:tr>
        <w:tblPrEx>
          <w:tblW w:w="8325" w:type="dxa"/>
          <w:tblInd w:w="128" w:type="dxa"/>
          <w:tblCellMar>
            <w:top w:w="0" w:type="dxa"/>
            <w:left w:w="0" w:type="dxa"/>
            <w:bottom w:w="0" w:type="dxa"/>
            <w:right w:w="0" w:type="dxa"/>
          </w:tblCellMar>
        </w:tblPrEx>
        <w:tc>
          <w:tcPr>
            <w:tcW w:w="207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资产</w:t>
            </w:r>
          </w:p>
        </w:tc>
        <w:tc>
          <w:tcPr>
            <w:tcW w:w="207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49.85</w:t>
            </w:r>
          </w:p>
        </w:tc>
        <w:tc>
          <w:tcPr>
            <w:tcW w:w="207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996.94</w:t>
            </w:r>
          </w:p>
        </w:tc>
        <w:tc>
          <w:tcPr>
            <w:tcW w:w="207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7.64</w:t>
            </w:r>
          </w:p>
        </w:tc>
      </w:tr>
      <w:tr>
        <w:tblPrEx>
          <w:tblW w:w="8325" w:type="dxa"/>
          <w:tblInd w:w="128" w:type="dxa"/>
          <w:tblCellMar>
            <w:top w:w="0" w:type="dxa"/>
            <w:left w:w="0" w:type="dxa"/>
            <w:bottom w:w="0" w:type="dxa"/>
            <w:right w:w="0" w:type="dxa"/>
          </w:tblCellMar>
        </w:tblPrEx>
        <w:tc>
          <w:tcPr>
            <w:tcW w:w="207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税后净利润</w:t>
            </w:r>
          </w:p>
        </w:tc>
        <w:tc>
          <w:tcPr>
            <w:tcW w:w="207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1.69</w:t>
            </w:r>
          </w:p>
        </w:tc>
        <w:tc>
          <w:tcPr>
            <w:tcW w:w="207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33.85</w:t>
            </w:r>
          </w:p>
        </w:tc>
        <w:tc>
          <w:tcPr>
            <w:tcW w:w="2070"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2.97</w:t>
            </w:r>
          </w:p>
        </w:tc>
      </w:tr>
    </w:tbl>
    <w:p>
      <w:pPr>
        <w:widowControl w:val="0"/>
        <w:spacing w:before="0" w:after="0"/>
        <w:jc w:val="both"/>
        <w:rPr>
          <w:sz w:val="0"/>
          <w:szCs w:val="0"/>
        </w:rPr>
      </w:pPr>
      <w:r>
        <w:rPr>
          <w:strike w:val="0"/>
          <w:sz w:val="0"/>
          <w:szCs w:val="0"/>
          <w:u w:val="none"/>
        </w:rPr>
        <w:drawing>
          <wp:inline>
            <wp:extent cx="28575" cy="28575"/>
            <wp:docPr id="100029"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2533650" cy="1571625"/>
            <wp:docPr id="1000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
                    <pic:cNvPicPr>
                      <a:picLocks noChangeAspect="1"/>
                    </pic:cNvPicPr>
                  </pic:nvPicPr>
                  <pic:blipFill>
                    <a:blip xmlns:r="http://schemas.openxmlformats.org/officeDocument/2006/relationships" r:embed="rId10"/>
                    <a:stretch>
                      <a:fillRect/>
                    </a:stretch>
                  </pic:blipFill>
                  <pic:spPr>
                    <a:xfrm>
                      <a:off x="0" y="0"/>
                      <a:ext cx="2533650" cy="15716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根据以上信息，可推断出我国（</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①民企规模实现较快增长，民营经济的韧性增强</w:t>
      </w:r>
    </w:p>
    <w:p>
      <w:pPr>
        <w:widowControl w:val="0"/>
        <w:spacing w:before="0" w:after="0" w:line="360" w:lineRule="auto"/>
        <w:rPr>
          <w:sz w:val="21"/>
          <w:szCs w:val="21"/>
        </w:rPr>
      </w:pPr>
      <w:r>
        <w:rPr>
          <w:rFonts w:ascii="SimSun" w:eastAsia="SimSun" w:hAnsi="SimSun" w:cs="SimSun"/>
          <w:sz w:val="21"/>
          <w:szCs w:val="21"/>
        </w:rPr>
        <w:t>②民企经济效益日益增长，市场占有率不断提高</w:t>
      </w:r>
    </w:p>
    <w:p>
      <w:pPr>
        <w:widowControl w:val="0"/>
        <w:spacing w:before="0" w:after="0" w:line="360" w:lineRule="auto"/>
        <w:rPr>
          <w:sz w:val="21"/>
          <w:szCs w:val="21"/>
        </w:rPr>
      </w:pPr>
      <w:r>
        <w:rPr>
          <w:rFonts w:ascii="SimSun" w:eastAsia="SimSun" w:hAnsi="SimSun" w:cs="SimSun"/>
          <w:sz w:val="21"/>
          <w:szCs w:val="21"/>
        </w:rPr>
        <w:t>③产业结构不断优化升级，产业链协同效应增强</w:t>
      </w:r>
    </w:p>
    <w:p>
      <w:pPr>
        <w:widowControl w:val="0"/>
        <w:spacing w:before="0" w:after="0" w:line="360" w:lineRule="auto"/>
        <w:rPr>
          <w:sz w:val="21"/>
          <w:szCs w:val="21"/>
        </w:rPr>
      </w:pPr>
      <w:r>
        <w:rPr>
          <w:rFonts w:ascii="SimSun" w:eastAsia="SimSun" w:hAnsi="SimSun" w:cs="SimSun"/>
          <w:sz w:val="21"/>
          <w:szCs w:val="21"/>
        </w:rPr>
        <w:t>④创新驱动发展成效显著，民企核心竞争力提升</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rFonts w:ascii="Cambria Math" w:eastAsia="Cambria Math" w:hAnsi="Cambria Math" w:cs="Cambria Math"/>
          <w:sz w:val="21"/>
          <w:szCs w:val="21"/>
        </w:rPr>
        <w:t>①</w:t>
      </w:r>
      <w:r>
        <w:rPr>
          <w:rFonts w:ascii="SimSun" w:eastAsia="SimSun" w:hAnsi="SimSun" w:cs="SimSun"/>
          <w:sz w:val="21"/>
          <w:szCs w:val="21"/>
        </w:rPr>
        <w:t>：从图表数据看，</w:t>
      </w:r>
      <w:r>
        <w:rPr>
          <w:sz w:val="21"/>
          <w:szCs w:val="21"/>
        </w:rPr>
        <w:t>2023</w:t>
      </w:r>
      <w:r>
        <w:rPr>
          <w:rFonts w:ascii="SimSun" w:eastAsia="SimSun" w:hAnsi="SimSun" w:cs="SimSun"/>
          <w:sz w:val="21"/>
          <w:szCs w:val="21"/>
        </w:rPr>
        <w:t>年中国民营企业</w:t>
      </w:r>
      <w:r>
        <w:rPr>
          <w:sz w:val="21"/>
          <w:szCs w:val="21"/>
        </w:rPr>
        <w:t>500</w:t>
      </w:r>
      <w:r>
        <w:rPr>
          <w:rFonts w:ascii="SimSun" w:eastAsia="SimSun" w:hAnsi="SimSun" w:cs="SimSun"/>
          <w:sz w:val="21"/>
          <w:szCs w:val="21"/>
        </w:rPr>
        <w:t>强的营业收入、资产、税后净利润的总额和户均金额都有一定增长，增长率分别为</w:t>
      </w:r>
      <w:r>
        <w:rPr>
          <w:sz w:val="21"/>
          <w:szCs w:val="21"/>
        </w:rPr>
        <w:t>5.22%</w:t>
      </w:r>
      <w:r>
        <w:rPr>
          <w:rFonts w:ascii="SimSun" w:eastAsia="SimSun" w:hAnsi="SimSun" w:cs="SimSun"/>
          <w:sz w:val="21"/>
          <w:szCs w:val="21"/>
        </w:rPr>
        <w:t>、</w:t>
      </w:r>
      <w:r>
        <w:rPr>
          <w:sz w:val="21"/>
          <w:szCs w:val="21"/>
        </w:rPr>
        <w:t>7.64%</w:t>
      </w:r>
      <w:r>
        <w:rPr>
          <w:rFonts w:ascii="SimSun" w:eastAsia="SimSun" w:hAnsi="SimSun" w:cs="SimSun"/>
          <w:sz w:val="21"/>
          <w:szCs w:val="21"/>
        </w:rPr>
        <w:t>、</w:t>
      </w:r>
      <w:r>
        <w:rPr>
          <w:sz w:val="21"/>
          <w:szCs w:val="21"/>
        </w:rPr>
        <w:t>2.97%</w:t>
      </w:r>
      <w:r>
        <w:rPr>
          <w:rFonts w:ascii="SimSun" w:eastAsia="SimSun" w:hAnsi="SimSun" w:cs="SimSun"/>
          <w:sz w:val="21"/>
          <w:szCs w:val="21"/>
        </w:rPr>
        <w:t>，这表明民营企业规模在不断扩大，在外部环境复杂严峻、国内经济下行压力加大的情况下仍能保持增长，体现了民营经济较强的韧性，故</w:t>
      </w:r>
      <w:r>
        <w:rPr>
          <w:rFonts w:ascii="Cambria Math" w:eastAsia="Cambria Math" w:hAnsi="Cambria Math" w:cs="Cambria Math"/>
          <w:sz w:val="21"/>
          <w:szCs w:val="21"/>
        </w:rPr>
        <w:t>①</w:t>
      </w:r>
      <w:r>
        <w:rPr>
          <w:rFonts w:ascii="SimSun" w:eastAsia="SimSun" w:hAnsi="SimSun" w:cs="SimSun"/>
          <w:sz w:val="21"/>
          <w:szCs w:val="21"/>
        </w:rPr>
        <w:t>正确。</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：仅从图表中税后净利润</w:t>
      </w:r>
      <w:r>
        <w:rPr>
          <w:sz w:val="21"/>
          <w:szCs w:val="21"/>
        </w:rPr>
        <w:t>2.97%</w:t>
      </w:r>
      <w:r>
        <w:rPr>
          <w:rFonts w:ascii="SimSun" w:eastAsia="SimSun" w:hAnsi="SimSun" w:cs="SimSun"/>
          <w:sz w:val="21"/>
          <w:szCs w:val="21"/>
        </w:rPr>
        <w:t>的增长率等数据，不能直接得出民企经济效益“日益增长”的结论，且图表没有提供市场占有率的相关信息，无法推断出市场占有率不断提高，故</w:t>
      </w:r>
      <w:r>
        <w:rPr>
          <w:rFonts w:ascii="Cambria Math" w:eastAsia="Cambria Math" w:hAnsi="Cambria Math" w:cs="Cambria Math"/>
          <w:sz w:val="21"/>
          <w:szCs w:val="21"/>
        </w:rPr>
        <w:t>②</w:t>
      </w:r>
      <w:r>
        <w:rPr>
          <w:rFonts w:ascii="SimSun" w:eastAsia="SimSun" w:hAnsi="SimSun" w:cs="SimSun"/>
          <w:sz w:val="21"/>
          <w:szCs w:val="21"/>
        </w:rPr>
        <w:t>错误。</w:t>
      </w:r>
    </w:p>
    <w:p>
      <w:pPr>
        <w:widowControl w:val="0"/>
        <w:spacing w:before="0" w:after="0" w:line="360" w:lineRule="auto"/>
        <w:rPr>
          <w:sz w:val="21"/>
          <w:szCs w:val="21"/>
        </w:rPr>
      </w:pPr>
      <w:r>
        <w:rPr>
          <w:rFonts w:ascii="Cambria Math" w:eastAsia="Cambria Math" w:hAnsi="Cambria Math" w:cs="Cambria Math"/>
          <w:sz w:val="21"/>
          <w:szCs w:val="21"/>
        </w:rPr>
        <w:t>③</w:t>
      </w:r>
      <w:r>
        <w:rPr>
          <w:rFonts w:ascii="SimSun" w:eastAsia="SimSun" w:hAnsi="SimSun" w:cs="SimSun"/>
          <w:sz w:val="21"/>
          <w:szCs w:val="21"/>
        </w:rPr>
        <w:t>：图表主要呈现的是民营企业</w:t>
      </w:r>
      <w:r>
        <w:rPr>
          <w:sz w:val="21"/>
          <w:szCs w:val="21"/>
        </w:rPr>
        <w:t>500</w:t>
      </w:r>
      <w:r>
        <w:rPr>
          <w:rFonts w:ascii="SimSun" w:eastAsia="SimSun" w:hAnsi="SimSun" w:cs="SimSun"/>
          <w:sz w:val="21"/>
          <w:szCs w:val="21"/>
        </w:rPr>
        <w:t>强的营业收入、资产、税后净利润等数据，没有涉及产业结构以及产业链协同效应的内容，故</w:t>
      </w:r>
      <w:r>
        <w:rPr>
          <w:rFonts w:ascii="Cambria Math" w:eastAsia="Cambria Math" w:hAnsi="Cambria Math" w:cs="Cambria Math"/>
          <w:sz w:val="21"/>
          <w:szCs w:val="21"/>
        </w:rPr>
        <w:t>③</w:t>
      </w:r>
      <w:r>
        <w:rPr>
          <w:rFonts w:ascii="SimSun" w:eastAsia="SimSun" w:hAnsi="SimSun" w:cs="SimSun"/>
          <w:sz w:val="21"/>
          <w:szCs w:val="21"/>
        </w:rPr>
        <w:t>错误。</w:t>
      </w:r>
    </w:p>
    <w:p>
      <w:pPr>
        <w:widowControl w:val="0"/>
        <w:spacing w:before="0" w:after="0" w:line="360" w:lineRule="auto"/>
        <w:rPr>
          <w:sz w:val="21"/>
          <w:szCs w:val="21"/>
        </w:rPr>
      </w:pPr>
      <w:r>
        <w:rPr>
          <w:rFonts w:ascii="Cambria Math" w:eastAsia="Cambria Math" w:hAnsi="Cambria Math" w:cs="Cambria Math"/>
          <w:sz w:val="21"/>
          <w:szCs w:val="21"/>
        </w:rPr>
        <w:t>④</w:t>
      </w:r>
      <w:r>
        <w:rPr>
          <w:rFonts w:ascii="SimSun" w:eastAsia="SimSun" w:hAnsi="SimSun" w:cs="SimSun"/>
          <w:sz w:val="21"/>
          <w:szCs w:val="21"/>
        </w:rPr>
        <w:t>：在外部环境复杂严峻和国内经济下行压力加大的情况下，民营企业</w:t>
      </w:r>
      <w:r>
        <w:rPr>
          <w:sz w:val="21"/>
          <w:szCs w:val="21"/>
        </w:rPr>
        <w:t>500</w:t>
      </w:r>
      <w:r>
        <w:rPr>
          <w:rFonts w:ascii="SimSun" w:eastAsia="SimSun" w:hAnsi="SimSun" w:cs="SimSun"/>
          <w:sz w:val="21"/>
          <w:szCs w:val="21"/>
        </w:rPr>
        <w:t>强仍能实现营业收入、资产、税后净利润等方面的增长，可反映出民营企业在创新驱动发展战略下，通过不断创新提升了核心竞争力，从而在困境中取得较好发展，故</w:t>
      </w:r>
      <w:r>
        <w:rPr>
          <w:rFonts w:ascii="Cambria Math" w:eastAsia="Cambria Math" w:hAnsi="Cambria Math" w:cs="Cambria Math"/>
          <w:sz w:val="21"/>
          <w:szCs w:val="21"/>
        </w:rPr>
        <w:t>④</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故本题选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4. </w:t>
      </w:r>
      <w:r>
        <w:rPr>
          <w:rFonts w:ascii="SimSun" w:eastAsia="SimSun" w:hAnsi="SimSun" w:cs="SimSun"/>
          <w:sz w:val="21"/>
          <w:szCs w:val="21"/>
        </w:rPr>
        <w:t>行业技术标准的统一是金砖国家经贸合作的基础。</w:t>
      </w:r>
      <w:r>
        <w:rPr>
          <w:sz w:val="21"/>
          <w:szCs w:val="21"/>
        </w:rPr>
        <w:t>2024</w:t>
      </w:r>
      <w:r>
        <w:rPr>
          <w:rFonts w:ascii="SimSun" w:eastAsia="SimSun" w:hAnsi="SimSun" w:cs="SimSun"/>
          <w:sz w:val="21"/>
          <w:szCs w:val="21"/>
        </w:rPr>
        <w:t>年是“大金砖合作”的开局之年，面对金砖成员国标准认证领域的差异及标准的数字化转型，标准合作成为</w:t>
      </w:r>
      <w:r>
        <w:rPr>
          <w:sz w:val="21"/>
          <w:szCs w:val="21"/>
        </w:rPr>
        <w:t>2024</w:t>
      </w:r>
      <w:r>
        <w:rPr>
          <w:rFonts w:ascii="SimSun" w:eastAsia="SimSun" w:hAnsi="SimSun" w:cs="SimSun"/>
          <w:sz w:val="21"/>
          <w:szCs w:val="21"/>
        </w:rPr>
        <w:t>年</w:t>
      </w:r>
      <w:r>
        <w:rPr>
          <w:sz w:val="21"/>
          <w:szCs w:val="21"/>
        </w:rPr>
        <w:t>10</w:t>
      </w:r>
      <w:r>
        <w:rPr>
          <w:rFonts w:ascii="SimSun" w:eastAsia="SimSun" w:hAnsi="SimSun" w:cs="SimSun"/>
          <w:sz w:val="21"/>
          <w:szCs w:val="21"/>
        </w:rPr>
        <w:t>月金砖国家经贸活动论坛的主题。深化金砖国家标准合作将（</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①进一步促进金砖国家经贸往来的便利化和规范化</w:t>
      </w:r>
    </w:p>
    <w:p>
      <w:pPr>
        <w:widowControl w:val="0"/>
        <w:spacing w:before="0" w:after="0" w:line="360" w:lineRule="auto"/>
        <w:rPr>
          <w:sz w:val="21"/>
          <w:szCs w:val="21"/>
        </w:rPr>
      </w:pPr>
      <w:r>
        <w:rPr>
          <w:rFonts w:ascii="SimSun" w:eastAsia="SimSun" w:hAnsi="SimSun" w:cs="SimSun"/>
          <w:sz w:val="21"/>
          <w:szCs w:val="21"/>
        </w:rPr>
        <w:t>②有助于提升金砖国家在全球经济治理中的话语权</w:t>
      </w:r>
      <w:r>
        <w:rPr>
          <w:strike w:val="0"/>
          <w:sz w:val="21"/>
          <w:szCs w:val="21"/>
          <w:u w:val="none"/>
        </w:rPr>
        <w:drawing>
          <wp:inline>
            <wp:extent cx="28575" cy="28575"/>
            <wp:docPr id="100045"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③消弭金砖国家间观念分歧、利益冲突和政策差异</w:t>
      </w:r>
    </w:p>
    <w:p>
      <w:pPr>
        <w:widowControl w:val="0"/>
        <w:spacing w:before="0" w:after="0" w:line="360" w:lineRule="auto"/>
        <w:rPr>
          <w:sz w:val="21"/>
          <w:szCs w:val="21"/>
        </w:rPr>
      </w:pPr>
      <w:r>
        <w:rPr>
          <w:rFonts w:ascii="SimSun" w:eastAsia="SimSun" w:hAnsi="SimSun" w:cs="SimSun"/>
          <w:sz w:val="21"/>
          <w:szCs w:val="21"/>
        </w:rPr>
        <w:t>④在世界范围内推动经济数字化转型及高质量发展</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【详解】①②：面对金砖成员国标准认证领域的差异及标准的数字化转型，标准合作成为</w:t>
      </w:r>
      <w:r>
        <w:rPr>
          <w:sz w:val="21"/>
          <w:szCs w:val="21"/>
        </w:rPr>
        <w:t>2024</w:t>
      </w:r>
      <w:r>
        <w:rPr>
          <w:rFonts w:ascii="SimSun" w:eastAsia="SimSun" w:hAnsi="SimSun" w:cs="SimSun"/>
          <w:sz w:val="21"/>
          <w:szCs w:val="21"/>
        </w:rPr>
        <w:t>年</w:t>
      </w:r>
      <w:r>
        <w:rPr>
          <w:sz w:val="21"/>
          <w:szCs w:val="21"/>
        </w:rPr>
        <w:t>10</w:t>
      </w:r>
      <w:r>
        <w:rPr>
          <w:rFonts w:ascii="SimSun" w:eastAsia="SimSun" w:hAnsi="SimSun" w:cs="SimSun"/>
          <w:sz w:val="21"/>
          <w:szCs w:val="21"/>
        </w:rPr>
        <w:t>月金砖国家经贸活动论坛的主题。标准作为世界的</w:t>
      </w:r>
      <w:r>
        <w:rPr>
          <w:sz w:val="21"/>
          <w:szCs w:val="21"/>
        </w:rPr>
        <w:t>“</w:t>
      </w:r>
      <w:r>
        <w:rPr>
          <w:rFonts w:ascii="SimSun" w:eastAsia="SimSun" w:hAnsi="SimSun" w:cs="SimSun"/>
          <w:sz w:val="21"/>
          <w:szCs w:val="21"/>
        </w:rPr>
        <w:t>通用语言</w:t>
      </w:r>
      <w:r>
        <w:rPr>
          <w:sz w:val="21"/>
          <w:szCs w:val="21"/>
        </w:rPr>
        <w:t>”</w:t>
      </w:r>
      <w:r>
        <w:rPr>
          <w:rFonts w:ascii="SimSun" w:eastAsia="SimSun" w:hAnsi="SimSun" w:cs="SimSun"/>
          <w:sz w:val="21"/>
          <w:szCs w:val="21"/>
        </w:rPr>
        <w:t>和协调金砖国家经济发展的技术纽带，是深化金砖国家贸易合作、加强人文交流的重要桥梁，深化金砖国家标准合作将进一步促进金砖国家经贸往来的便利化和规范化，有助于提升金砖国家在全球经济治理中的话语权，①②正确。</w:t>
      </w:r>
    </w:p>
    <w:p>
      <w:pPr>
        <w:widowControl w:val="0"/>
        <w:spacing w:before="0" w:after="0" w:line="360" w:lineRule="auto"/>
        <w:rPr>
          <w:sz w:val="21"/>
          <w:szCs w:val="21"/>
        </w:rPr>
      </w:pPr>
      <w:r>
        <w:rPr>
          <w:rFonts w:ascii="SimSun" w:eastAsia="SimSun" w:hAnsi="SimSun" w:cs="SimSun"/>
          <w:sz w:val="21"/>
          <w:szCs w:val="21"/>
        </w:rPr>
        <w:t>③：该选项的说法夸大了深化金砖国家标准合作的意义，③错误。</w:t>
      </w:r>
    </w:p>
    <w:p>
      <w:pPr>
        <w:widowControl w:val="0"/>
        <w:spacing w:before="0" w:after="0" w:line="360" w:lineRule="auto"/>
        <w:rPr>
          <w:sz w:val="21"/>
          <w:szCs w:val="21"/>
        </w:rPr>
      </w:pPr>
      <w:r>
        <w:rPr>
          <w:rFonts w:ascii="SimSun" w:eastAsia="SimSun" w:hAnsi="SimSun" w:cs="SimSun"/>
          <w:sz w:val="21"/>
          <w:szCs w:val="21"/>
        </w:rPr>
        <w:t>④：金砖国家标准合作主要是推动金砖国家经济数字化转型及高质量发展，④排除。</w:t>
      </w:r>
    </w:p>
    <w:p>
      <w:pPr>
        <w:widowControl w:val="0"/>
        <w:spacing w:before="0" w:after="0" w:line="360" w:lineRule="auto"/>
        <w:rPr>
          <w:sz w:val="21"/>
          <w:szCs w:val="21"/>
        </w:rPr>
      </w:pPr>
      <w:r>
        <w:rPr>
          <w:rFonts w:ascii="SimSun" w:eastAsia="SimSun" w:hAnsi="SimSun" w:cs="SimSun"/>
          <w:sz w:val="21"/>
          <w:szCs w:val="21"/>
        </w:rPr>
        <w:t>故本题选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5. </w:t>
      </w:r>
      <w:r>
        <w:rPr>
          <w:rFonts w:ascii="SimSun" w:eastAsia="SimSun" w:hAnsi="SimSun" w:cs="SimSun"/>
          <w:sz w:val="21"/>
          <w:szCs w:val="21"/>
        </w:rPr>
        <w:t>网络空间以虚拟、开放、共享为重要特征，没有明确的地理空间和边界。网络主权是国家主权在网络空间中的自然延伸。世界互联网大会创办十余年来，中国在会上多次主张“尊重网络主权”，并将其视为推进全球互联网治理体系变革的首要原则，这是因为（</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①网络自由对传统主权观念形成了严峻挑战</w:t>
      </w:r>
    </w:p>
    <w:p>
      <w:pPr>
        <w:widowControl w:val="0"/>
        <w:spacing w:before="0" w:after="0" w:line="360" w:lineRule="auto"/>
        <w:rPr>
          <w:sz w:val="21"/>
          <w:szCs w:val="21"/>
        </w:rPr>
      </w:pPr>
      <w:r>
        <w:rPr>
          <w:rFonts w:ascii="SimSun" w:eastAsia="SimSun" w:hAnsi="SimSun" w:cs="SimSun"/>
          <w:sz w:val="21"/>
          <w:szCs w:val="21"/>
        </w:rPr>
        <w:t>②中国在全球互联网治理中发挥着引领作用</w:t>
      </w:r>
    </w:p>
    <w:p>
      <w:pPr>
        <w:widowControl w:val="0"/>
        <w:spacing w:before="0" w:after="0" w:line="360" w:lineRule="auto"/>
        <w:rPr>
          <w:sz w:val="21"/>
          <w:szCs w:val="21"/>
        </w:rPr>
      </w:pPr>
      <w:r>
        <w:rPr>
          <w:rFonts w:ascii="SimSun" w:eastAsia="SimSun" w:hAnsi="SimSun" w:cs="SimSun"/>
          <w:sz w:val="21"/>
          <w:szCs w:val="21"/>
        </w:rPr>
        <w:t>③全球互联网治理应以尊重主权国家的平等参与权利为前提</w:t>
      </w:r>
    </w:p>
    <w:p>
      <w:pPr>
        <w:widowControl w:val="0"/>
        <w:spacing w:before="0" w:after="0" w:line="360" w:lineRule="auto"/>
        <w:rPr>
          <w:sz w:val="21"/>
          <w:szCs w:val="21"/>
        </w:rPr>
      </w:pPr>
      <w:r>
        <w:rPr>
          <w:rFonts w:ascii="SimSun" w:eastAsia="SimSun" w:hAnsi="SimSun" w:cs="SimSun"/>
          <w:sz w:val="21"/>
          <w:szCs w:val="21"/>
        </w:rPr>
        <w:t>④网络命运共同体理念已经成为全球互联网治理的国际共识</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rFonts w:ascii="Cambria Math" w:eastAsia="Cambria Math" w:hAnsi="Cambria Math" w:cs="Cambria Math"/>
          <w:sz w:val="21"/>
          <w:szCs w:val="21"/>
        </w:rPr>
        <w:t>①③</w:t>
      </w:r>
      <w:r>
        <w:rPr>
          <w:rFonts w:ascii="SimSun" w:eastAsia="SimSun" w:hAnsi="SimSun" w:cs="SimSun"/>
          <w:sz w:val="21"/>
          <w:szCs w:val="21"/>
        </w:rPr>
        <w:t>：网络主权是国家主权在网络空间中的自然延伸，中国多次主张</w:t>
      </w:r>
      <w:r>
        <w:rPr>
          <w:sz w:val="21"/>
          <w:szCs w:val="21"/>
        </w:rPr>
        <w:t>“</w:t>
      </w:r>
      <w:r>
        <w:rPr>
          <w:rFonts w:ascii="SimSun" w:eastAsia="SimSun" w:hAnsi="SimSun" w:cs="SimSun"/>
          <w:sz w:val="21"/>
          <w:szCs w:val="21"/>
        </w:rPr>
        <w:t>尊重网络主权</w:t>
      </w:r>
      <w:r>
        <w:rPr>
          <w:sz w:val="21"/>
          <w:szCs w:val="21"/>
        </w:rPr>
        <w:t>”</w:t>
      </w:r>
      <w:r>
        <w:rPr>
          <w:rFonts w:ascii="SimSun" w:eastAsia="SimSun" w:hAnsi="SimSun" w:cs="SimSun"/>
          <w:sz w:val="21"/>
          <w:szCs w:val="21"/>
        </w:rPr>
        <w:t>，并将其视为推进全球互联网治理体系变革的首要原则，这是因为网络自由对传统主权观念形成了严峻挑战，全球互联网治理应以尊重主权国家的平等参与权利为前提，故</w:t>
      </w:r>
      <w:r>
        <w:rPr>
          <w:rFonts w:ascii="Cambria Math" w:eastAsia="Cambria Math" w:hAnsi="Cambria Math" w:cs="Cambria Math"/>
          <w:sz w:val="21"/>
          <w:szCs w:val="21"/>
        </w:rPr>
        <w:t>①③</w:t>
      </w:r>
      <w:r>
        <w:rPr>
          <w:rFonts w:ascii="SimSun" w:eastAsia="SimSun" w:hAnsi="SimSun" w:cs="SimSun"/>
          <w:sz w:val="21"/>
          <w:szCs w:val="21"/>
        </w:rPr>
        <w:t>符合题意。</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：此项与中国在会上多次主张</w:t>
      </w:r>
      <w:r>
        <w:rPr>
          <w:sz w:val="21"/>
          <w:szCs w:val="21"/>
        </w:rPr>
        <w:t>“</w:t>
      </w:r>
      <w:r>
        <w:rPr>
          <w:rFonts w:ascii="SimSun" w:eastAsia="SimSun" w:hAnsi="SimSun" w:cs="SimSun"/>
          <w:sz w:val="21"/>
          <w:szCs w:val="21"/>
        </w:rPr>
        <w:t>尊重网络主权</w:t>
      </w:r>
      <w:r>
        <w:rPr>
          <w:sz w:val="21"/>
          <w:szCs w:val="21"/>
        </w:rPr>
        <w:t>”</w:t>
      </w:r>
      <w:r>
        <w:rPr>
          <w:rFonts w:ascii="SimSun" w:eastAsia="SimSun" w:hAnsi="SimSun" w:cs="SimSun"/>
          <w:sz w:val="21"/>
          <w:szCs w:val="21"/>
        </w:rPr>
        <w:t>，并将其视为推进全球互联网治理体系变革的首要原则不构成因果关系，排除</w:t>
      </w:r>
      <w:r>
        <w:rPr>
          <w:rFonts w:ascii="Cambria Math" w:eastAsia="Cambria Math" w:hAnsi="Cambria Math" w:cs="Cambria Math"/>
          <w:sz w:val="21"/>
          <w:szCs w:val="21"/>
        </w:rPr>
        <w:t>②</w:t>
      </w:r>
      <w:r>
        <w:rPr>
          <w:rFonts w:ascii="SimSun" w:eastAsia="SimSun" w:hAnsi="SimSun" w:cs="SimSun"/>
          <w:sz w:val="21"/>
          <w:szCs w:val="21"/>
        </w:rPr>
        <w:t>。</w:t>
      </w:r>
    </w:p>
    <w:p>
      <w:pPr>
        <w:widowControl w:val="0"/>
        <w:spacing w:before="0" w:after="0" w:line="360" w:lineRule="auto"/>
        <w:rPr>
          <w:sz w:val="21"/>
          <w:szCs w:val="21"/>
        </w:rPr>
      </w:pPr>
      <w:r>
        <w:rPr>
          <w:rFonts w:ascii="Cambria Math" w:eastAsia="Cambria Math" w:hAnsi="Cambria Math" w:cs="Cambria Math"/>
          <w:sz w:val="21"/>
          <w:szCs w:val="21"/>
        </w:rPr>
        <w:t>④</w:t>
      </w:r>
      <w:r>
        <w:rPr>
          <w:rFonts w:ascii="SimSun" w:eastAsia="SimSun" w:hAnsi="SimSun" w:cs="SimSun"/>
          <w:sz w:val="21"/>
          <w:szCs w:val="21"/>
        </w:rPr>
        <w:t>：网络命运共同体理念并没有成为全球互联网治理的国际共识，此项说法与事实不符，</w:t>
      </w:r>
      <w:r>
        <w:rPr>
          <w:rFonts w:ascii="Cambria Math" w:eastAsia="Cambria Math" w:hAnsi="Cambria Math" w:cs="Cambria Math"/>
          <w:sz w:val="21"/>
          <w:szCs w:val="21"/>
        </w:rPr>
        <w:t>④</w:t>
      </w:r>
      <w:r>
        <w:rPr>
          <w:rFonts w:ascii="SimSun" w:eastAsia="SimSun" w:hAnsi="SimSun" w:cs="SimSun"/>
          <w:sz w:val="21"/>
          <w:szCs w:val="21"/>
        </w:rPr>
        <w:t>说法错误。</w:t>
      </w:r>
    </w:p>
    <w:p>
      <w:pPr>
        <w:widowControl w:val="0"/>
        <w:spacing w:before="0" w:after="0" w:line="360" w:lineRule="auto"/>
        <w:rPr>
          <w:sz w:val="21"/>
          <w:szCs w:val="21"/>
        </w:rPr>
      </w:pPr>
      <w:r>
        <w:rPr>
          <w:rFonts w:ascii="SimSun" w:eastAsia="SimSun" w:hAnsi="SimSun" w:cs="SimSun"/>
          <w:sz w:val="21"/>
          <w:szCs w:val="21"/>
        </w:rPr>
        <w:t>故本题选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6. </w:t>
      </w:r>
      <w:r>
        <w:rPr>
          <w:rFonts w:ascii="SimSun" w:eastAsia="SimSun" w:hAnsi="SimSun" w:cs="SimSun"/>
          <w:sz w:val="21"/>
          <w:szCs w:val="21"/>
        </w:rPr>
        <w:t>近年来，围绕破解流动党员管理难题，河南省出台多项举措：建立流出地、流入地双向共管机制，强化</w:t>
      </w:r>
      <w:r>
        <w:rPr>
          <w:strike w:val="0"/>
          <w:sz w:val="21"/>
          <w:szCs w:val="21"/>
          <w:u w:val="none"/>
        </w:rPr>
        <w:drawing>
          <wp:inline>
            <wp:extent cx="28575" cy="28575"/>
            <wp:docPr id="100059"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对流动党员的教育管理；围绕业务开展线上主题党日活动，共谋家乡发展：建设流动党员志愿者队伍，培塑志愿者品牌，在实践中锤炼党性。这一系列举措旨在（</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①以党的思想建设为统领，提高流动党员理论素养</w:t>
      </w:r>
    </w:p>
    <w:p>
      <w:pPr>
        <w:widowControl w:val="0"/>
        <w:spacing w:before="0" w:after="0" w:line="360" w:lineRule="auto"/>
        <w:rPr>
          <w:sz w:val="21"/>
          <w:szCs w:val="21"/>
        </w:rPr>
      </w:pPr>
      <w:r>
        <w:rPr>
          <w:rFonts w:ascii="SimSun" w:eastAsia="SimSun" w:hAnsi="SimSun" w:cs="SimSun"/>
          <w:sz w:val="21"/>
          <w:szCs w:val="21"/>
        </w:rPr>
        <w:t>②完善流动党员管理机制，增强流动党员管理实效</w:t>
      </w:r>
    </w:p>
    <w:p>
      <w:pPr>
        <w:widowControl w:val="0"/>
        <w:spacing w:before="0" w:after="0" w:line="360" w:lineRule="auto"/>
        <w:rPr>
          <w:sz w:val="21"/>
          <w:szCs w:val="21"/>
        </w:rPr>
      </w:pPr>
      <w:r>
        <w:rPr>
          <w:rFonts w:ascii="SimSun" w:eastAsia="SimSun" w:hAnsi="SimSun" w:cs="SimSun"/>
          <w:sz w:val="21"/>
          <w:szCs w:val="21"/>
        </w:rPr>
        <w:t>③将党建与业务有机结合，提升流动党员从业能力</w:t>
      </w:r>
    </w:p>
    <w:p>
      <w:pPr>
        <w:widowControl w:val="0"/>
        <w:spacing w:before="0" w:after="0" w:line="360" w:lineRule="auto"/>
        <w:rPr>
          <w:sz w:val="21"/>
          <w:szCs w:val="21"/>
        </w:rPr>
      </w:pPr>
      <w:r>
        <w:rPr>
          <w:rFonts w:ascii="SimSun" w:eastAsia="SimSun" w:hAnsi="SimSun" w:cs="SimSun"/>
          <w:sz w:val="21"/>
          <w:szCs w:val="21"/>
        </w:rPr>
        <w:t>④增强党组织的组织功能，更好发挥战斗堡垒作用</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【详解】①：以党的政治建设为统领，①说法错误。</w:t>
      </w:r>
    </w:p>
    <w:p>
      <w:pPr>
        <w:widowControl w:val="0"/>
        <w:spacing w:before="0" w:after="0" w:line="360" w:lineRule="auto"/>
        <w:rPr>
          <w:sz w:val="21"/>
          <w:szCs w:val="21"/>
        </w:rPr>
      </w:pPr>
      <w:r>
        <w:rPr>
          <w:rFonts w:ascii="SimSun" w:eastAsia="SimSun" w:hAnsi="SimSun" w:cs="SimSun"/>
          <w:sz w:val="21"/>
          <w:szCs w:val="21"/>
        </w:rPr>
        <w:t>②：建立流出地、流入地双向共管机制，强化对流动党员的教育管理，体现了这一系列举措旨在完善流动党员管理机制，增强流动党员管理实效，②符合题意。</w:t>
      </w:r>
    </w:p>
    <w:p>
      <w:pPr>
        <w:widowControl w:val="0"/>
        <w:spacing w:before="0" w:after="0" w:line="360" w:lineRule="auto"/>
        <w:rPr>
          <w:sz w:val="21"/>
          <w:szCs w:val="21"/>
        </w:rPr>
      </w:pPr>
      <w:r>
        <w:rPr>
          <w:rFonts w:ascii="SimSun" w:eastAsia="SimSun" w:hAnsi="SimSun" w:cs="SimSun"/>
          <w:sz w:val="21"/>
          <w:szCs w:val="21"/>
        </w:rPr>
        <w:t>③：围绕业务开展线上主题党日活动，共谋家乡发展：建设流动党员志愿者队伍，培塑志愿者品牌，在实践中锤炼党性，体现了这一系列举措旨在将党建与业务有机结合，提升流动党员从业能力，③符合题意。</w:t>
      </w:r>
    </w:p>
    <w:p>
      <w:pPr>
        <w:widowControl w:val="0"/>
        <w:spacing w:before="0" w:after="0" w:line="360" w:lineRule="auto"/>
        <w:rPr>
          <w:sz w:val="21"/>
          <w:szCs w:val="21"/>
        </w:rPr>
      </w:pPr>
      <w:r>
        <w:rPr>
          <w:rFonts w:ascii="SimSun" w:eastAsia="SimSun" w:hAnsi="SimSun" w:cs="SimSun"/>
          <w:sz w:val="21"/>
          <w:szCs w:val="21"/>
        </w:rPr>
        <w:t>④：材料强调的是增强流动党员管理实效，提升流动党员从业能力，不涉及基层党组织发挥战斗堡垒作用，④不符合题意。</w:t>
      </w:r>
    </w:p>
    <w:p>
      <w:pPr>
        <w:widowControl w:val="0"/>
        <w:spacing w:before="0" w:after="0" w:line="360" w:lineRule="auto"/>
        <w:rPr>
          <w:sz w:val="21"/>
          <w:szCs w:val="21"/>
        </w:rPr>
      </w:pPr>
      <w:r>
        <w:rPr>
          <w:rFonts w:ascii="SimSun" w:eastAsia="SimSun" w:hAnsi="SimSun" w:cs="SimSun"/>
          <w:sz w:val="21"/>
          <w:szCs w:val="21"/>
        </w:rPr>
        <w:t>故本题选C。</w:t>
      </w:r>
    </w:p>
    <w:p>
      <w:pPr>
        <w:widowControl w:val="0"/>
        <w:spacing w:before="0" w:after="0" w:line="360" w:lineRule="auto"/>
        <w:rPr>
          <w:sz w:val="21"/>
          <w:szCs w:val="21"/>
        </w:rPr>
      </w:pPr>
      <w:r>
        <w:rPr>
          <w:sz w:val="21"/>
          <w:szCs w:val="21"/>
        </w:rPr>
        <w:t>7. 2024</w:t>
      </w:r>
      <w:r>
        <w:rPr>
          <w:rFonts w:ascii="SimSun" w:eastAsia="SimSun" w:hAnsi="SimSun" w:cs="SimSun"/>
          <w:sz w:val="21"/>
          <w:szCs w:val="21"/>
        </w:rPr>
        <w:t>年</w:t>
      </w:r>
      <w:r>
        <w:rPr>
          <w:sz w:val="21"/>
          <w:szCs w:val="21"/>
        </w:rPr>
        <w:t>6</w:t>
      </w:r>
      <w:r>
        <w:rPr>
          <w:rFonts w:ascii="SimSun" w:eastAsia="SimSun" w:hAnsi="SimSun" w:cs="SimSun"/>
          <w:sz w:val="21"/>
          <w:szCs w:val="21"/>
        </w:rPr>
        <w:t>月</w:t>
      </w:r>
      <w:r>
        <w:rPr>
          <w:sz w:val="21"/>
          <w:szCs w:val="21"/>
        </w:rPr>
        <w:t>28</w:t>
      </w:r>
      <w:r>
        <w:rPr>
          <w:rFonts w:ascii="SimSun" w:eastAsia="SimSun" w:hAnsi="SimSun" w:cs="SimSun"/>
          <w:sz w:val="21"/>
          <w:szCs w:val="21"/>
        </w:rPr>
        <w:t>日，全国人大常委会通过《中华人民共和国农村集体经济组织法》。该法的制定在认真总结地方农村集体产权制度改革实践经验的基础上，充分考虑了新型农村集体经济的特点，并通过民情调研、座谈研讨等方式，广泛听取了各方意见。这表明全国人大常委会（</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①作为最高国家权力机关，行使了立法权</w:t>
      </w:r>
    </w:p>
    <w:p>
      <w:pPr>
        <w:widowControl w:val="0"/>
        <w:spacing w:before="0" w:after="0" w:line="360" w:lineRule="auto"/>
        <w:rPr>
          <w:sz w:val="21"/>
          <w:szCs w:val="21"/>
        </w:rPr>
      </w:pPr>
      <w:r>
        <w:rPr>
          <w:rFonts w:ascii="SimSun" w:eastAsia="SimSun" w:hAnsi="SimSun" w:cs="SimSun"/>
          <w:sz w:val="21"/>
          <w:szCs w:val="21"/>
        </w:rPr>
        <w:t>②积极履行经济建设职能，促进社会发展</w:t>
      </w:r>
    </w:p>
    <w:p>
      <w:pPr>
        <w:widowControl w:val="0"/>
        <w:spacing w:before="0" w:after="0" w:line="360" w:lineRule="auto"/>
        <w:rPr>
          <w:sz w:val="21"/>
          <w:szCs w:val="21"/>
        </w:rPr>
      </w:pPr>
      <w:r>
        <w:rPr>
          <w:rFonts w:ascii="SimSun" w:eastAsia="SimSun" w:hAnsi="SimSun" w:cs="SimSun"/>
          <w:sz w:val="21"/>
          <w:szCs w:val="21"/>
        </w:rPr>
        <w:t>③密切联系群众，践行了全过程人民民主</w:t>
      </w:r>
    </w:p>
    <w:p>
      <w:pPr>
        <w:widowControl w:val="0"/>
        <w:spacing w:before="0" w:after="0" w:line="360" w:lineRule="auto"/>
        <w:rPr>
          <w:sz w:val="21"/>
          <w:szCs w:val="21"/>
        </w:rPr>
      </w:pPr>
      <w:r>
        <w:rPr>
          <w:rFonts w:ascii="SimSun" w:eastAsia="SimSun" w:hAnsi="SimSun" w:cs="SimSun"/>
          <w:sz w:val="21"/>
          <w:szCs w:val="21"/>
        </w:rPr>
        <w:t>④从我国农村实际出发，做到了科学立法</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rFonts w:ascii="Cambria Math" w:eastAsia="Cambria Math" w:hAnsi="Cambria Math" w:cs="Cambria Math"/>
          <w:sz w:val="21"/>
          <w:szCs w:val="21"/>
        </w:rPr>
        <w:t>③④</w:t>
      </w:r>
      <w:r>
        <w:rPr>
          <w:rFonts w:ascii="SimSun" w:eastAsia="SimSun" w:hAnsi="SimSun" w:cs="SimSun"/>
          <w:sz w:val="21"/>
          <w:szCs w:val="21"/>
        </w:rPr>
        <w:t>：该法的制定在认真总结实践经验的基础上，充分考虑了新型农村集体经济的特点，并通过民情调研等方式，广泛听取了各方意见，表明全国人大常委会密切联系群众，践行了全过程人民民主，从我国农村实际出发，做到了科学立法，</w:t>
      </w:r>
      <w:r>
        <w:rPr>
          <w:rFonts w:ascii="Cambria Math" w:eastAsia="Cambria Math" w:hAnsi="Cambria Math" w:cs="Cambria Math"/>
          <w:sz w:val="21"/>
          <w:szCs w:val="21"/>
        </w:rPr>
        <w:t>③④</w:t>
      </w:r>
      <w:r>
        <w:rPr>
          <w:rFonts w:ascii="SimSun" w:eastAsia="SimSun" w:hAnsi="SimSun" w:cs="SimSun"/>
          <w:sz w:val="21"/>
          <w:szCs w:val="21"/>
        </w:rPr>
        <w:t>正确。</w:t>
      </w:r>
      <w:r>
        <w:rPr>
          <w:strike w:val="0"/>
          <w:sz w:val="21"/>
          <w:szCs w:val="21"/>
          <w:u w:val="none"/>
        </w:rPr>
        <w:drawing>
          <wp:inline>
            <wp:extent cx="28575" cy="28575"/>
            <wp:docPr id="100073"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Cambria Math" w:eastAsia="Cambria Math" w:hAnsi="Cambria Math" w:cs="Cambria Math"/>
          <w:sz w:val="21"/>
          <w:szCs w:val="21"/>
        </w:rPr>
        <w:t>①</w:t>
      </w:r>
      <w:r>
        <w:rPr>
          <w:rFonts w:ascii="SimSun" w:eastAsia="SimSun" w:hAnsi="SimSun" w:cs="SimSun"/>
          <w:sz w:val="21"/>
          <w:szCs w:val="21"/>
        </w:rPr>
        <w:t>：全国人民代表大会是最高国家权力机关，全国人大常委会是全国人大的常设机关，</w:t>
      </w:r>
      <w:r>
        <w:rPr>
          <w:rFonts w:ascii="Cambria Math" w:eastAsia="Cambria Math" w:hAnsi="Cambria Math" w:cs="Cambria Math"/>
          <w:sz w:val="21"/>
          <w:szCs w:val="21"/>
        </w:rPr>
        <w:t>①</w:t>
      </w:r>
      <w:r>
        <w:rPr>
          <w:rFonts w:ascii="SimSun" w:eastAsia="SimSun" w:hAnsi="SimSun" w:cs="SimSun"/>
          <w:sz w:val="21"/>
          <w:szCs w:val="21"/>
        </w:rPr>
        <w:t>排除。</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：履行经济建设职能的主体是政府，</w:t>
      </w:r>
      <w:r>
        <w:rPr>
          <w:rFonts w:ascii="Cambria Math" w:eastAsia="Cambria Math" w:hAnsi="Cambria Math" w:cs="Cambria Math"/>
          <w:sz w:val="21"/>
          <w:szCs w:val="21"/>
        </w:rPr>
        <w:t>②</w:t>
      </w:r>
      <w:r>
        <w:rPr>
          <w:rFonts w:ascii="SimSun" w:eastAsia="SimSun" w:hAnsi="SimSun" w:cs="SimSun"/>
          <w:sz w:val="21"/>
          <w:szCs w:val="21"/>
        </w:rPr>
        <w:t>排除。</w:t>
      </w:r>
    </w:p>
    <w:p>
      <w:pPr>
        <w:widowControl w:val="0"/>
        <w:spacing w:before="0" w:after="0" w:line="360" w:lineRule="auto"/>
        <w:rPr>
          <w:sz w:val="21"/>
          <w:szCs w:val="21"/>
        </w:rPr>
      </w:pPr>
      <w:r>
        <w:rPr>
          <w:rFonts w:ascii="SimSun" w:eastAsia="SimSun" w:hAnsi="SimSun" w:cs="SimSun"/>
          <w:sz w:val="21"/>
          <w:szCs w:val="21"/>
        </w:rPr>
        <w:t>故本题选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8. </w:t>
      </w:r>
      <w:r>
        <w:rPr>
          <w:rFonts w:ascii="SimSun" w:eastAsia="SimSun" w:hAnsi="SimSun" w:cs="SimSun"/>
          <w:sz w:val="21"/>
          <w:szCs w:val="21"/>
        </w:rPr>
        <w:t>某村在村委会带领下，成立了以妇女为主的“巾帼志愿者”团队、以离退休干部为主的“乡风文明”协会和以中青年男性为主的“利群”服务队。从改善村容村貌到化解村民矛盾，他们各司其职、相互合作，助力该村走出了一条乡村治理特色之路，该村因此获评“全国乡村治理示范村”。这表明该村（</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①实行了自我管理与自我服务的治理模式</w:t>
      </w:r>
    </w:p>
    <w:p>
      <w:pPr>
        <w:widowControl w:val="0"/>
        <w:spacing w:before="0" w:after="0" w:line="360" w:lineRule="auto"/>
        <w:rPr>
          <w:sz w:val="21"/>
          <w:szCs w:val="21"/>
        </w:rPr>
      </w:pPr>
      <w:r>
        <w:rPr>
          <w:rFonts w:ascii="SimSun" w:eastAsia="SimSun" w:hAnsi="SimSun" w:cs="SimSun"/>
          <w:sz w:val="21"/>
          <w:szCs w:val="21"/>
        </w:rPr>
        <w:t>②发挥了基层政权组织协调各方的治理优势</w:t>
      </w:r>
    </w:p>
    <w:p>
      <w:pPr>
        <w:widowControl w:val="0"/>
        <w:spacing w:before="0" w:after="0" w:line="360" w:lineRule="auto"/>
        <w:rPr>
          <w:sz w:val="21"/>
          <w:szCs w:val="21"/>
        </w:rPr>
      </w:pPr>
      <w:r>
        <w:rPr>
          <w:rFonts w:ascii="SimSun" w:eastAsia="SimSun" w:hAnsi="SimSun" w:cs="SimSun"/>
          <w:sz w:val="21"/>
          <w:szCs w:val="21"/>
        </w:rPr>
        <w:t>③创新了基层群众性自治组织管理公共事务的方式</w:t>
      </w:r>
    </w:p>
    <w:p>
      <w:pPr>
        <w:widowControl w:val="0"/>
        <w:spacing w:before="0" w:after="0" w:line="360" w:lineRule="auto"/>
        <w:rPr>
          <w:sz w:val="21"/>
          <w:szCs w:val="21"/>
        </w:rPr>
      </w:pPr>
      <w:r>
        <w:rPr>
          <w:rFonts w:ascii="SimSun" w:eastAsia="SimSun" w:hAnsi="SimSun" w:cs="SimSun"/>
          <w:sz w:val="21"/>
          <w:szCs w:val="21"/>
        </w:rPr>
        <w:t>④村民依法规范自身行为，积极参与基层民主实践</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①③：某村在村委会带领下，成立了“巾帼志愿者”团队、“乡风文明”协会和“利群”服务队，助力该村走出了一条乡村治理特色之路，这说明该村实行了自我管理与自我服务的治理模式，创新了基层群众性自治组织管理公共事务的方式，①③正确。</w:t>
      </w:r>
    </w:p>
    <w:p>
      <w:pPr>
        <w:widowControl w:val="0"/>
        <w:spacing w:before="0" w:after="0" w:line="360" w:lineRule="auto"/>
        <w:rPr>
          <w:sz w:val="21"/>
          <w:szCs w:val="21"/>
        </w:rPr>
      </w:pPr>
      <w:r>
        <w:rPr>
          <w:rFonts w:ascii="SimSun" w:eastAsia="SimSun" w:hAnsi="SimSun" w:cs="SimSun"/>
          <w:sz w:val="21"/>
          <w:szCs w:val="21"/>
        </w:rPr>
        <w:t>②：村委会不是基层政权组织，而是基层群众性自治组织，②排除。</w:t>
      </w:r>
    </w:p>
    <w:p>
      <w:pPr>
        <w:widowControl w:val="0"/>
        <w:spacing w:before="0" w:after="0" w:line="360" w:lineRule="auto"/>
        <w:rPr>
          <w:sz w:val="21"/>
          <w:szCs w:val="21"/>
        </w:rPr>
      </w:pPr>
      <w:r>
        <w:rPr>
          <w:rFonts w:ascii="SimSun" w:eastAsia="SimSun" w:hAnsi="SimSun" w:cs="SimSun"/>
          <w:sz w:val="21"/>
          <w:szCs w:val="21"/>
        </w:rPr>
        <w:t>④：题目没有涉及村民依法规范自身行为，积极参与基层民主实践，④排除。</w:t>
      </w:r>
    </w:p>
    <w:p>
      <w:pPr>
        <w:widowControl w:val="0"/>
        <w:spacing w:before="0" w:after="0" w:line="360" w:lineRule="auto"/>
        <w:rPr>
          <w:sz w:val="21"/>
          <w:szCs w:val="21"/>
        </w:rPr>
      </w:pPr>
      <w:r>
        <w:rPr>
          <w:rFonts w:ascii="SimSun" w:eastAsia="SimSun" w:hAnsi="SimSun" w:cs="SimSun"/>
          <w:sz w:val="21"/>
          <w:szCs w:val="21"/>
        </w:rPr>
        <w:t>故本题选A。</w:t>
      </w: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刘某早年丧偶，独自抚养两个女儿。大女儿已成年，小女儿存在严重的智力缺陷。刘某在小女儿</w:t>
      </w:r>
      <w:r>
        <w:rPr>
          <w:sz w:val="21"/>
          <w:szCs w:val="21"/>
        </w:rPr>
        <w:t>15</w:t>
      </w:r>
      <w:r>
        <w:rPr>
          <w:rFonts w:ascii="SimSun" w:eastAsia="SimSun" w:hAnsi="SimSun" w:cs="SimSun"/>
          <w:sz w:val="21"/>
          <w:szCs w:val="21"/>
        </w:rPr>
        <w:t>岁时摔伤，后一直神志不清，其间某理财公司销售人员借机向刘某售出一份</w:t>
      </w:r>
      <w:r>
        <w:rPr>
          <w:sz w:val="21"/>
          <w:szCs w:val="21"/>
        </w:rPr>
        <w:t>8</w:t>
      </w:r>
      <w:r>
        <w:rPr>
          <w:rFonts w:ascii="SimSun" w:eastAsia="SimSun" w:hAnsi="SimSun" w:cs="SimSun"/>
          <w:sz w:val="21"/>
          <w:szCs w:val="21"/>
        </w:rPr>
        <w:t>万元的高风险理财产品。摔伤一年后，刘某病故，未留遗嘱。据此，以下表述正确的是（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①小女儿是限制民事行为能力人</w:t>
      </w:r>
    </w:p>
    <w:p>
      <w:pPr>
        <w:widowControl w:val="0"/>
        <w:spacing w:before="0" w:after="0" w:line="360" w:lineRule="auto"/>
        <w:rPr>
          <w:sz w:val="21"/>
          <w:szCs w:val="21"/>
        </w:rPr>
      </w:pPr>
      <w:r>
        <w:rPr>
          <w:rFonts w:ascii="SimSun" w:eastAsia="SimSun" w:hAnsi="SimSun" w:cs="SimSun"/>
          <w:sz w:val="21"/>
          <w:szCs w:val="21"/>
        </w:rPr>
        <w:t>②刘某</w:t>
      </w:r>
      <w:r>
        <w:rPr>
          <w:strike w:val="0"/>
          <w:sz w:val="21"/>
          <w:szCs w:val="21"/>
          <w:u w:val="none"/>
        </w:rPr>
        <w:drawing>
          <wp:inline>
            <wp:extent cx="133350" cy="180975"/>
            <wp:docPr id="10008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
                    <pic:cNvPicPr>
                      <a:picLocks noChangeAspect="1"/>
                    </pic:cNvPicPr>
                  </pic:nvPicPr>
                  <pic:blipFill>
                    <a:blip xmlns:r="http://schemas.openxmlformats.org/officeDocument/2006/relationships" r:embed="rId7"/>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遗产应由两个女儿均等继承</w:t>
      </w:r>
    </w:p>
    <w:p>
      <w:pPr>
        <w:widowControl w:val="0"/>
        <w:spacing w:before="0" w:after="0" w:line="360" w:lineRule="auto"/>
        <w:rPr>
          <w:sz w:val="21"/>
          <w:szCs w:val="21"/>
        </w:rPr>
      </w:pPr>
      <w:r>
        <w:rPr>
          <w:rFonts w:ascii="SimSun" w:eastAsia="SimSun" w:hAnsi="SimSun" w:cs="SimSun"/>
          <w:sz w:val="21"/>
          <w:szCs w:val="21"/>
        </w:rPr>
        <w:t>③刘某摔伤后，小女儿的监护人应变更为大女儿</w:t>
      </w:r>
    </w:p>
    <w:p>
      <w:pPr>
        <w:widowControl w:val="0"/>
        <w:spacing w:before="0" w:after="0" w:line="360" w:lineRule="auto"/>
        <w:rPr>
          <w:sz w:val="21"/>
          <w:szCs w:val="21"/>
        </w:rPr>
      </w:pPr>
      <w:r>
        <w:rPr>
          <w:rFonts w:ascii="SimSun" w:eastAsia="SimSun" w:hAnsi="SimSun" w:cs="SimSun"/>
          <w:sz w:val="21"/>
          <w:szCs w:val="21"/>
        </w:rPr>
        <w:t>④两个女儿可向法院起诉，要求该理财公司退还</w:t>
      </w:r>
      <w:r>
        <w:rPr>
          <w:sz w:val="21"/>
          <w:szCs w:val="21"/>
        </w:rPr>
        <w:t>8</w:t>
      </w:r>
      <w:r>
        <w:rPr>
          <w:rFonts w:ascii="SimSun" w:eastAsia="SimSun" w:hAnsi="SimSun" w:cs="SimSun"/>
          <w:sz w:val="21"/>
          <w:szCs w:val="21"/>
        </w:rPr>
        <w:t>万元</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【详解】①：如果智力障碍严重到不能辨认自己的行为，就属于无民事行为能力人；如果智力障碍严重到</w:t>
      </w:r>
      <w:r>
        <w:rPr>
          <w:strike w:val="0"/>
          <w:sz w:val="21"/>
          <w:szCs w:val="21"/>
          <w:u w:val="none"/>
        </w:rPr>
        <w:drawing>
          <wp:inline>
            <wp:extent cx="28575" cy="28575"/>
            <wp:docPr id="100089"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不能完全辨认自己的行为，就属于限制民事行为能力人。小女儿存在严重的智力缺陷，不一定是限制民事行为能力人，①错误。</w:t>
      </w:r>
    </w:p>
    <w:p>
      <w:pPr>
        <w:widowControl w:val="0"/>
        <w:spacing w:before="0" w:after="0" w:line="360" w:lineRule="auto"/>
        <w:rPr>
          <w:sz w:val="21"/>
          <w:szCs w:val="21"/>
        </w:rPr>
      </w:pPr>
      <w:r>
        <w:rPr>
          <w:rFonts w:ascii="SimSun" w:eastAsia="SimSun" w:hAnsi="SimSun" w:cs="SimSun"/>
          <w:sz w:val="21"/>
          <w:szCs w:val="21"/>
        </w:rPr>
        <w:t>②：依据《继承法》的相关规定，同一顺序继承人继承遗产的份额，一般应当均等。对生活有特殊困难的缺乏劳动能力的继承人，分配遗产时，应当予以照顾。但由于小女儿存在严重的智力缺陷，在分配遗产时，应当予以照顾。②错误。</w:t>
      </w:r>
    </w:p>
    <w:p>
      <w:pPr>
        <w:widowControl w:val="0"/>
        <w:spacing w:before="0" w:after="0" w:line="360" w:lineRule="auto"/>
        <w:rPr>
          <w:sz w:val="21"/>
          <w:szCs w:val="21"/>
        </w:rPr>
      </w:pPr>
      <w:r>
        <w:rPr>
          <w:rFonts w:ascii="SimSun" w:eastAsia="SimSun" w:hAnsi="SimSun" w:cs="SimSun"/>
          <w:sz w:val="21"/>
          <w:szCs w:val="21"/>
        </w:rPr>
        <w:t>③：大女儿已成年，小女儿存在严重的智力缺陷。刘某在小女儿15岁时摔伤，后一直神志不清，刘某摔伤后，小女儿的监护人应变更为大女儿，③正确。</w:t>
      </w:r>
    </w:p>
    <w:p>
      <w:pPr>
        <w:widowControl w:val="0"/>
        <w:spacing w:before="0" w:after="0" w:line="360" w:lineRule="auto"/>
        <w:rPr>
          <w:sz w:val="21"/>
          <w:szCs w:val="21"/>
        </w:rPr>
      </w:pPr>
      <w:r>
        <w:rPr>
          <w:rFonts w:ascii="SimSun" w:eastAsia="SimSun" w:hAnsi="SimSun" w:cs="SimSun"/>
          <w:sz w:val="21"/>
          <w:szCs w:val="21"/>
        </w:rPr>
        <w:t>④：无行为能力人或者限制行为能力人在不能辨认或者不能完全辨认自己行为的情况下所进行的民事行为，通常是无效的。因此，在神志不清状态下购买的理财产品，其合同可能会被视为无效。本案中，某理财公司销售人员在刘某摔伤后一直神志不清时向刘某售出一份8万元的高风险理财产品。其合同可能会被视为无效。摔伤一年后，刘某病故，因此，两个女儿作为刘某的法定继承人可向法院起诉，要求该理财公司退还8万元，④正确。</w:t>
      </w:r>
    </w:p>
    <w:p>
      <w:pPr>
        <w:widowControl w:val="0"/>
        <w:spacing w:before="0" w:after="0" w:line="360" w:lineRule="auto"/>
        <w:rPr>
          <w:sz w:val="21"/>
          <w:szCs w:val="21"/>
        </w:rPr>
      </w:pPr>
      <w:r>
        <w:rPr>
          <w:rFonts w:ascii="SimSun" w:eastAsia="SimSun" w:hAnsi="SimSun" w:cs="SimSun"/>
          <w:sz w:val="21"/>
          <w:szCs w:val="21"/>
        </w:rPr>
        <w:t>故本题选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10. </w:t>
      </w:r>
      <w:r>
        <w:rPr>
          <w:rFonts w:ascii="SimSun" w:eastAsia="SimSun" w:hAnsi="SimSun" w:cs="SimSun"/>
          <w:sz w:val="21"/>
          <w:szCs w:val="21"/>
        </w:rPr>
        <w:t>范某是种粮大户，其种植的小麦全部枯萎发黄，几乎绝收。随后，范某发现一家化工企业将工业废水排入了其用于灌溉小麦的河流。范某向法院提起诉讼，要求该企业赔偿自己的损失。下列需由范某负举证责任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①范某遭受的损失</w:t>
      </w:r>
      <w:r>
        <w:rPr>
          <w:sz w:val="21"/>
          <w:szCs w:val="21"/>
        </w:rPr>
        <w:t xml:space="preserve">                     </w:t>
      </w:r>
      <w:r>
        <w:rPr>
          <w:rFonts w:ascii="SimSun" w:eastAsia="SimSun" w:hAnsi="SimSun" w:cs="SimSun"/>
          <w:sz w:val="21"/>
          <w:szCs w:val="21"/>
        </w:rPr>
        <w:t>②化工企业主观上有过错</w:t>
      </w:r>
    </w:p>
    <w:p>
      <w:pPr>
        <w:widowControl w:val="0"/>
        <w:spacing w:before="0" w:after="0" w:line="360" w:lineRule="auto"/>
        <w:rPr>
          <w:sz w:val="21"/>
          <w:szCs w:val="21"/>
        </w:rPr>
      </w:pPr>
      <w:r>
        <w:rPr>
          <w:rFonts w:ascii="SimSun" w:eastAsia="SimSun" w:hAnsi="SimSun" w:cs="SimSun"/>
          <w:sz w:val="21"/>
          <w:szCs w:val="21"/>
        </w:rPr>
        <w:t>③化工企业实施了排污行为</w:t>
      </w:r>
      <w:r>
        <w:rPr>
          <w:sz w:val="21"/>
          <w:szCs w:val="21"/>
        </w:rPr>
        <w:t xml:space="preserve">           </w:t>
      </w:r>
      <w:r>
        <w:rPr>
          <w:rFonts w:ascii="SimSun" w:eastAsia="SimSun" w:hAnsi="SimSun" w:cs="SimSun"/>
          <w:sz w:val="21"/>
          <w:szCs w:val="21"/>
        </w:rPr>
        <w:t>④排污行为与损失间的因果关系</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【详解】①③：依据民事诉讼“谁主张，谁举证”的原则，原告范某应对自己遭受的损失和化工企业是否实施了排污行为进行举证，①③符合题意。</w:t>
      </w:r>
    </w:p>
    <w:p>
      <w:pPr>
        <w:widowControl w:val="0"/>
        <w:spacing w:before="0" w:after="0" w:line="360" w:lineRule="auto"/>
        <w:rPr>
          <w:sz w:val="21"/>
          <w:szCs w:val="21"/>
        </w:rPr>
      </w:pPr>
      <w:r>
        <w:rPr>
          <w:rFonts w:ascii="SimSun" w:eastAsia="SimSun" w:hAnsi="SimSun" w:cs="SimSun"/>
          <w:sz w:val="21"/>
          <w:szCs w:val="21"/>
        </w:rPr>
        <w:t>②：环境污染侵权的归责原则采用的是无过错侵权责任，化工企业无论主观上有无过错，均应承担侵权责任，②排除。</w:t>
      </w:r>
    </w:p>
    <w:p>
      <w:pPr>
        <w:widowControl w:val="0"/>
        <w:spacing w:before="0" w:after="0" w:line="360" w:lineRule="auto"/>
        <w:rPr>
          <w:sz w:val="21"/>
          <w:szCs w:val="21"/>
        </w:rPr>
      </w:pPr>
      <w:r>
        <w:rPr>
          <w:rFonts w:ascii="SimSun" w:eastAsia="SimSun" w:hAnsi="SimSun" w:cs="SimSun"/>
          <w:sz w:val="21"/>
          <w:szCs w:val="21"/>
        </w:rPr>
        <w:t>④：环境污染侵权案件采用举证责任倒置原则，由被告化工厂对原告的损失和自己排污行为之间是否有因果关系举证，④排除。</w:t>
      </w:r>
    </w:p>
    <w:p>
      <w:pPr>
        <w:widowControl w:val="0"/>
        <w:spacing w:before="0" w:after="0" w:line="360" w:lineRule="auto"/>
        <w:rPr>
          <w:sz w:val="21"/>
          <w:szCs w:val="21"/>
        </w:rPr>
      </w:pPr>
      <w:r>
        <w:rPr>
          <w:rFonts w:ascii="SimSun" w:eastAsia="SimSun" w:hAnsi="SimSun" w:cs="SimSun"/>
          <w:sz w:val="21"/>
          <w:szCs w:val="21"/>
        </w:rPr>
        <w:t>故本题选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《论语》有言：“不时不食。”春宜食韭菜、红枣，升阳补脾；夏宜食莲子、西瓜，清热养心；秋宜食梨子、蜂蜜，润肺滋阴；冬宜食羊肉、核桃，温阳补肾。食四季之鲜，应四时之变，四季养生已成为一</w:t>
      </w:r>
      <w:r>
        <w:rPr>
          <w:strike w:val="0"/>
          <w:sz w:val="21"/>
          <w:szCs w:val="21"/>
          <w:u w:val="none"/>
        </w:rPr>
        <w:drawing>
          <wp:inline>
            <wp:extent cx="28575" cy="28575"/>
            <wp:docPr id="100103"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种时尚。由此可知（</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①顺应四时之变的饮食符合人体养生规律</w:t>
      </w:r>
    </w:p>
    <w:p>
      <w:pPr>
        <w:widowControl w:val="0"/>
        <w:spacing w:before="0" w:after="0" w:line="360" w:lineRule="auto"/>
        <w:rPr>
          <w:sz w:val="21"/>
          <w:szCs w:val="21"/>
        </w:rPr>
      </w:pPr>
      <w:r>
        <w:rPr>
          <w:rFonts w:ascii="SimSun" w:eastAsia="SimSun" w:hAnsi="SimSun" w:cs="SimSun"/>
          <w:sz w:val="21"/>
          <w:szCs w:val="21"/>
        </w:rPr>
        <w:t>②四时变化规律与人体养生规律是相同的</w:t>
      </w:r>
    </w:p>
    <w:p>
      <w:pPr>
        <w:widowControl w:val="0"/>
        <w:spacing w:before="0" w:after="0" w:line="360" w:lineRule="auto"/>
        <w:rPr>
          <w:sz w:val="21"/>
          <w:szCs w:val="21"/>
        </w:rPr>
      </w:pPr>
      <w:r>
        <w:rPr>
          <w:rFonts w:ascii="SimSun" w:eastAsia="SimSun" w:hAnsi="SimSun" w:cs="SimSun"/>
          <w:sz w:val="21"/>
          <w:szCs w:val="21"/>
        </w:rPr>
        <w:t>③时令、饮食与养生之间有着内在的联系</w:t>
      </w:r>
    </w:p>
    <w:p>
      <w:pPr>
        <w:widowControl w:val="0"/>
        <w:spacing w:before="0" w:after="0" w:line="360" w:lineRule="auto"/>
        <w:rPr>
          <w:sz w:val="21"/>
          <w:szCs w:val="21"/>
        </w:rPr>
      </w:pPr>
      <w:r>
        <w:rPr>
          <w:rFonts w:ascii="SimSun" w:eastAsia="SimSun" w:hAnsi="SimSun" w:cs="SimSun"/>
          <w:sz w:val="21"/>
          <w:szCs w:val="21"/>
        </w:rPr>
        <w:t>④人们可根据四时之变建立四季之鲜间的联系</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rFonts w:ascii="Cambria Math" w:eastAsia="Cambria Math" w:hAnsi="Cambria Math" w:cs="Cambria Math"/>
          <w:sz w:val="21"/>
          <w:szCs w:val="21"/>
        </w:rPr>
        <w:t>①</w:t>
      </w:r>
      <w:r>
        <w:rPr>
          <w:rFonts w:ascii="SimSun" w:eastAsia="SimSun" w:hAnsi="SimSun" w:cs="SimSun"/>
          <w:sz w:val="21"/>
          <w:szCs w:val="21"/>
        </w:rPr>
        <w:t>：</w:t>
      </w:r>
      <w:r>
        <w:rPr>
          <w:sz w:val="21"/>
          <w:szCs w:val="21"/>
        </w:rPr>
        <w:t>“</w:t>
      </w:r>
      <w:r>
        <w:rPr>
          <w:rFonts w:ascii="SimSun" w:eastAsia="SimSun" w:hAnsi="SimSun" w:cs="SimSun"/>
          <w:sz w:val="21"/>
          <w:szCs w:val="21"/>
        </w:rPr>
        <w:t>不时不食</w:t>
      </w:r>
      <w:r>
        <w:rPr>
          <w:sz w:val="21"/>
          <w:szCs w:val="21"/>
        </w:rPr>
        <w:t>”</w:t>
      </w:r>
      <w:r>
        <w:rPr>
          <w:rFonts w:ascii="SimSun" w:eastAsia="SimSun" w:hAnsi="SimSun" w:cs="SimSun"/>
          <w:sz w:val="21"/>
          <w:szCs w:val="21"/>
        </w:rPr>
        <w:t>及四季对应的不同养生食物，体现了顺应四季变化来安排饮食，这样的饮食方式是符合人体养生规律的，能更好地促进人体健康，故</w:t>
      </w:r>
      <w:r>
        <w:rPr>
          <w:rFonts w:ascii="Cambria Math" w:eastAsia="Cambria Math" w:hAnsi="Cambria Math" w:cs="Cambria Math"/>
          <w:sz w:val="21"/>
          <w:szCs w:val="21"/>
        </w:rPr>
        <w:t>①</w:t>
      </w:r>
      <w:r>
        <w:rPr>
          <w:rFonts w:ascii="SimSun" w:eastAsia="SimSun" w:hAnsi="SimSun" w:cs="SimSun"/>
          <w:sz w:val="21"/>
          <w:szCs w:val="21"/>
        </w:rPr>
        <w:t>正确。</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：四时变化规律是自然规律；人体养生规律实际上是关于人体健康与养生方面的合乎规律的一些规则、习惯、理念，二者有联系但不相同，故</w:t>
      </w:r>
      <w:r>
        <w:rPr>
          <w:rFonts w:ascii="Cambria Math" w:eastAsia="Cambria Math" w:hAnsi="Cambria Math" w:cs="Cambria Math"/>
          <w:sz w:val="21"/>
          <w:szCs w:val="21"/>
        </w:rPr>
        <w:t>②</w:t>
      </w:r>
      <w:r>
        <w:rPr>
          <w:rFonts w:ascii="SimSun" w:eastAsia="SimSun" w:hAnsi="SimSun" w:cs="SimSun"/>
          <w:sz w:val="21"/>
          <w:szCs w:val="21"/>
        </w:rPr>
        <w:t>错误。</w:t>
      </w:r>
    </w:p>
    <w:p>
      <w:pPr>
        <w:widowControl w:val="0"/>
        <w:spacing w:before="0" w:after="0" w:line="360" w:lineRule="auto"/>
        <w:rPr>
          <w:sz w:val="21"/>
          <w:szCs w:val="21"/>
        </w:rPr>
      </w:pPr>
      <w:r>
        <w:rPr>
          <w:rFonts w:ascii="Cambria Math" w:eastAsia="Cambria Math" w:hAnsi="Cambria Math" w:cs="Cambria Math"/>
          <w:sz w:val="21"/>
          <w:szCs w:val="21"/>
        </w:rPr>
        <w:t>③</w:t>
      </w:r>
      <w:r>
        <w:rPr>
          <w:rFonts w:ascii="SimSun" w:eastAsia="SimSun" w:hAnsi="SimSun" w:cs="SimSun"/>
          <w:sz w:val="21"/>
          <w:szCs w:val="21"/>
        </w:rPr>
        <w:t>：不同季节有适宜的时令食物，不同食物对人体养生有不同作用，表明时令、饮食与养生之间存在内在的、本质的联系，故</w:t>
      </w:r>
      <w:r>
        <w:rPr>
          <w:rFonts w:ascii="Cambria Math" w:eastAsia="Cambria Math" w:hAnsi="Cambria Math" w:cs="Cambria Math"/>
          <w:sz w:val="21"/>
          <w:szCs w:val="21"/>
        </w:rPr>
        <w:t>③</w:t>
      </w:r>
      <w:r>
        <w:rPr>
          <w:rFonts w:ascii="SimSun" w:eastAsia="SimSun" w:hAnsi="SimSun" w:cs="SimSun"/>
          <w:sz w:val="21"/>
          <w:szCs w:val="21"/>
        </w:rPr>
        <w:t>正确。</w:t>
      </w:r>
    </w:p>
    <w:p>
      <w:pPr>
        <w:widowControl w:val="0"/>
        <w:spacing w:before="0" w:after="0" w:line="360" w:lineRule="auto"/>
        <w:rPr>
          <w:sz w:val="21"/>
          <w:szCs w:val="21"/>
        </w:rPr>
      </w:pPr>
      <w:r>
        <w:rPr>
          <w:rFonts w:ascii="Cambria Math" w:eastAsia="Cambria Math" w:hAnsi="Cambria Math" w:cs="Cambria Math"/>
          <w:sz w:val="21"/>
          <w:szCs w:val="21"/>
        </w:rPr>
        <w:t>④</w:t>
      </w:r>
      <w:r>
        <w:rPr>
          <w:rFonts w:ascii="SimSun" w:eastAsia="SimSun" w:hAnsi="SimSun" w:cs="SimSun"/>
          <w:sz w:val="21"/>
          <w:szCs w:val="21"/>
        </w:rPr>
        <w:t>：材料中的</w:t>
      </w:r>
      <w:r>
        <w:rPr>
          <w:sz w:val="21"/>
          <w:szCs w:val="21"/>
        </w:rPr>
        <w:t>“</w:t>
      </w:r>
      <w:r>
        <w:rPr>
          <w:rFonts w:ascii="SimSun" w:eastAsia="SimSun" w:hAnsi="SimSun" w:cs="SimSun"/>
          <w:sz w:val="21"/>
          <w:szCs w:val="21"/>
        </w:rPr>
        <w:t>四季之鲜</w:t>
      </w:r>
      <w:r>
        <w:rPr>
          <w:sz w:val="21"/>
          <w:szCs w:val="21"/>
        </w:rPr>
        <w:t>”</w:t>
      </w:r>
      <w:r>
        <w:rPr>
          <w:rFonts w:ascii="SimSun" w:eastAsia="SimSun" w:hAnsi="SimSun" w:cs="SimSun"/>
          <w:sz w:val="21"/>
          <w:szCs w:val="21"/>
        </w:rPr>
        <w:t>指时令食材，是在不同季节生长和成熟的食材，反映了自然界的周期变化。它们之间的联系是客观的，并不是人建立起来的，故</w:t>
      </w:r>
      <w:r>
        <w:rPr>
          <w:rFonts w:ascii="Cambria Math" w:eastAsia="Cambria Math" w:hAnsi="Cambria Math" w:cs="Cambria Math"/>
          <w:sz w:val="21"/>
          <w:szCs w:val="21"/>
        </w:rPr>
        <w:t>④</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故本题选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12. </w:t>
      </w:r>
      <w:r>
        <w:rPr>
          <w:rFonts w:ascii="SimSun" w:eastAsia="SimSun" w:hAnsi="SimSun" w:cs="SimSun"/>
          <w:sz w:val="21"/>
          <w:szCs w:val="21"/>
        </w:rPr>
        <w:t>“牛郎织女”是人们耳熟能详的神话传说。某国产动画电影在此基础上进行创新编排，运用“计白当黑”的中国画表现形式，以喜鹊象征好运，银杏叶寄托“落叶归根”的乡情，火锅传递热闹、团聚的寓意，选取“金风”“玉露”为主角命名……该片一经上映，便受到观众的广泛认可。影片的成功之处在于（</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①继承传统，立足中华优秀传统文化的丰富资源</w:t>
      </w:r>
    </w:p>
    <w:p>
      <w:pPr>
        <w:widowControl w:val="0"/>
        <w:spacing w:before="0" w:after="0" w:line="360" w:lineRule="auto"/>
        <w:rPr>
          <w:sz w:val="21"/>
          <w:szCs w:val="21"/>
        </w:rPr>
      </w:pPr>
      <w:r>
        <w:rPr>
          <w:rFonts w:ascii="SimSun" w:eastAsia="SimSun" w:hAnsi="SimSun" w:cs="SimSun"/>
          <w:sz w:val="21"/>
          <w:szCs w:val="21"/>
        </w:rPr>
        <w:t>②古为今用，实现传统美学和现代情感融会贯通</w:t>
      </w:r>
    </w:p>
    <w:p>
      <w:pPr>
        <w:widowControl w:val="0"/>
        <w:spacing w:before="0" w:after="0" w:line="360" w:lineRule="auto"/>
        <w:rPr>
          <w:sz w:val="21"/>
          <w:szCs w:val="21"/>
        </w:rPr>
      </w:pPr>
      <w:r>
        <w:rPr>
          <w:rFonts w:ascii="SimSun" w:eastAsia="SimSun" w:hAnsi="SimSun" w:cs="SimSun"/>
          <w:sz w:val="21"/>
          <w:szCs w:val="21"/>
        </w:rPr>
        <w:t>③锐意创新，以丰富的文化表现形式为根本追求</w:t>
      </w:r>
    </w:p>
    <w:p>
      <w:pPr>
        <w:widowControl w:val="0"/>
        <w:spacing w:before="0" w:after="0" w:line="360" w:lineRule="auto"/>
        <w:rPr>
          <w:sz w:val="21"/>
          <w:szCs w:val="21"/>
        </w:rPr>
      </w:pPr>
      <w:r>
        <w:rPr>
          <w:rFonts w:ascii="SimSun" w:eastAsia="SimSun" w:hAnsi="SimSun" w:cs="SimSun"/>
          <w:sz w:val="21"/>
          <w:szCs w:val="21"/>
        </w:rPr>
        <w:t>④与时俱进，深入发掘优秀传统文化的时代价值</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rFonts w:ascii="Cambria Math" w:eastAsia="Cambria Math" w:hAnsi="Cambria Math" w:cs="Cambria Math"/>
          <w:sz w:val="21"/>
          <w:szCs w:val="21"/>
        </w:rPr>
        <w:t>②④</w:t>
      </w:r>
      <w:r>
        <w:rPr>
          <w:rFonts w:ascii="SimSun" w:eastAsia="SimSun" w:hAnsi="SimSun" w:cs="SimSun"/>
          <w:sz w:val="21"/>
          <w:szCs w:val="21"/>
        </w:rPr>
        <w:t>：影片在“牛郎织女”传说的基础上进行创新编排，运用“计白当黑”的中国画表现形式表达了乡情、团聚等情感，做到了古为今用，实现传统美学和现代情感融会贯通；做到了与时俱进，深入发</w:t>
      </w:r>
      <w:r>
        <w:rPr>
          <w:strike w:val="0"/>
          <w:sz w:val="21"/>
          <w:szCs w:val="21"/>
          <w:u w:val="none"/>
        </w:rPr>
        <w:drawing>
          <wp:inline>
            <wp:extent cx="28575" cy="28575"/>
            <wp:docPr id="100117"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掘优秀传统文化的时代价值，</w:t>
      </w:r>
      <w:r>
        <w:rPr>
          <w:rFonts w:ascii="Cambria Math" w:eastAsia="Cambria Math" w:hAnsi="Cambria Math" w:cs="Cambria Math"/>
          <w:sz w:val="21"/>
          <w:szCs w:val="21"/>
        </w:rPr>
        <w:t>②④</w:t>
      </w:r>
      <w:r>
        <w:rPr>
          <w:rFonts w:ascii="SimSun" w:eastAsia="SimSun" w:hAnsi="SimSun" w:cs="SimSun"/>
          <w:sz w:val="21"/>
          <w:szCs w:val="21"/>
        </w:rPr>
        <w:t>符合题意。</w:t>
      </w:r>
    </w:p>
    <w:p>
      <w:pPr>
        <w:widowControl w:val="0"/>
        <w:spacing w:before="0" w:after="0" w:line="360" w:lineRule="auto"/>
        <w:rPr>
          <w:sz w:val="21"/>
          <w:szCs w:val="21"/>
        </w:rPr>
      </w:pPr>
      <w:r>
        <w:rPr>
          <w:rFonts w:ascii="Cambria Math" w:eastAsia="Cambria Math" w:hAnsi="Cambria Math" w:cs="Cambria Math"/>
          <w:sz w:val="21"/>
          <w:szCs w:val="21"/>
        </w:rPr>
        <w:t>①</w:t>
      </w:r>
      <w:r>
        <w:rPr>
          <w:rFonts w:ascii="SimSun" w:eastAsia="SimSun" w:hAnsi="SimSun" w:cs="SimSun"/>
          <w:sz w:val="21"/>
          <w:szCs w:val="21"/>
        </w:rPr>
        <w:t>：材料强调的是文化创新，而不是继承传统，且要立足于社会实践，</w:t>
      </w:r>
      <w:r>
        <w:rPr>
          <w:rFonts w:ascii="Cambria Math" w:eastAsia="Cambria Math" w:hAnsi="Cambria Math" w:cs="Cambria Math"/>
          <w:sz w:val="21"/>
          <w:szCs w:val="21"/>
        </w:rPr>
        <w:t>①</w:t>
      </w:r>
      <w:r>
        <w:rPr>
          <w:rFonts w:ascii="SimSun" w:eastAsia="SimSun" w:hAnsi="SimSun" w:cs="SimSun"/>
          <w:sz w:val="21"/>
          <w:szCs w:val="21"/>
        </w:rPr>
        <w:t>错误。</w:t>
      </w:r>
    </w:p>
    <w:p>
      <w:pPr>
        <w:widowControl w:val="0"/>
        <w:spacing w:before="0" w:after="0" w:line="360" w:lineRule="auto"/>
        <w:rPr>
          <w:sz w:val="21"/>
          <w:szCs w:val="21"/>
        </w:rPr>
      </w:pPr>
      <w:r>
        <w:rPr>
          <w:rFonts w:ascii="Cambria Math" w:eastAsia="Cambria Math" w:hAnsi="Cambria Math" w:cs="Cambria Math"/>
          <w:sz w:val="21"/>
          <w:szCs w:val="21"/>
        </w:rPr>
        <w:t>③</w:t>
      </w:r>
      <w:r>
        <w:rPr>
          <w:rFonts w:ascii="SimSun" w:eastAsia="SimSun" w:hAnsi="SimSun" w:cs="SimSun"/>
          <w:sz w:val="21"/>
          <w:szCs w:val="21"/>
        </w:rPr>
        <w:t>：影片做到了锐意创新，但丰富文化表现形式并不是艺术创作的根本追求，</w:t>
      </w:r>
      <w:r>
        <w:rPr>
          <w:rFonts w:ascii="Cambria Math" w:eastAsia="Cambria Math" w:hAnsi="Cambria Math" w:cs="Cambria Math"/>
          <w:sz w:val="21"/>
          <w:szCs w:val="21"/>
        </w:rPr>
        <w:t>③</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故本题选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到边疆去，到祖国最需要的地方去。”七十年来，一代代新疆生产建设兵团人汇聚天山脚下，如一棵棵小白杨扎根天山南北，饮冰卧雪、战风斗沙，铸就了“热爱祖国、无私奉献、艰苦创业、开拓进取”的兵团精神。秉承这种精神，兵团人与新疆各族群众携手共进，将亘古荒原变成片片绿洲，在戈壁滩上建起一座座屯垦城市和现代化工业园区。可见，兵团精神（</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①彰显出爱国主义是动员兵团人团结奋斗的一面旗帜</w:t>
      </w:r>
    </w:p>
    <w:p>
      <w:pPr>
        <w:widowControl w:val="0"/>
        <w:spacing w:before="0" w:after="0" w:line="360" w:lineRule="auto"/>
        <w:rPr>
          <w:sz w:val="21"/>
          <w:szCs w:val="21"/>
        </w:rPr>
      </w:pPr>
      <w:r>
        <w:rPr>
          <w:rFonts w:ascii="SimSun" w:eastAsia="SimSun" w:hAnsi="SimSun" w:cs="SimSun"/>
          <w:sz w:val="21"/>
          <w:szCs w:val="21"/>
        </w:rPr>
        <w:t>②为推进中华民族共同体建设提供了强大的精神支撑</w:t>
      </w:r>
    </w:p>
    <w:p>
      <w:pPr>
        <w:widowControl w:val="0"/>
        <w:spacing w:before="0" w:after="0" w:line="360" w:lineRule="auto"/>
        <w:rPr>
          <w:sz w:val="21"/>
          <w:szCs w:val="21"/>
        </w:rPr>
      </w:pPr>
      <w:r>
        <w:rPr>
          <w:rFonts w:ascii="SimSun" w:eastAsia="SimSun" w:hAnsi="SimSun" w:cs="SimSun"/>
          <w:sz w:val="21"/>
          <w:szCs w:val="21"/>
        </w:rPr>
        <w:t>③在几代兵团人建设边疆的过程中发挥着决定性作用</w:t>
      </w:r>
    </w:p>
    <w:p>
      <w:pPr>
        <w:widowControl w:val="0"/>
        <w:spacing w:before="0" w:after="0" w:line="360" w:lineRule="auto"/>
        <w:rPr>
          <w:sz w:val="21"/>
          <w:szCs w:val="21"/>
        </w:rPr>
      </w:pPr>
      <w:r>
        <w:rPr>
          <w:rFonts w:ascii="SimSun" w:eastAsia="SimSun" w:hAnsi="SimSun" w:cs="SimSun"/>
          <w:sz w:val="21"/>
          <w:szCs w:val="21"/>
        </w:rPr>
        <w:t>④集中体现了中华民族的价值追求、整体风貌和精神特征</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①②：秉承兵团精神精神，兵团人与新疆各族群众携手共进，将亘古荒原变成片片绿洲，在戈壁滩上建起一座座屯垦城市和现代化工业园区。可见，兵团精神彰显出爱国主义是动员兵团人团结奋斗的一面旗帜，为推进中华民族共同体建设提供了强大的精神支撑，①②正确。</w:t>
      </w:r>
    </w:p>
    <w:p>
      <w:pPr>
        <w:widowControl w:val="0"/>
        <w:spacing w:before="0" w:after="0" w:line="360" w:lineRule="auto"/>
        <w:rPr>
          <w:sz w:val="21"/>
          <w:szCs w:val="21"/>
        </w:rPr>
      </w:pPr>
      <w:r>
        <w:rPr>
          <w:rFonts w:ascii="SimSun" w:eastAsia="SimSun" w:hAnsi="SimSun" w:cs="SimSun"/>
          <w:sz w:val="21"/>
          <w:szCs w:val="21"/>
        </w:rPr>
        <w:t>③：兵团精神可以促进几代兵团人建设边疆，但是“发挥着决定性作用”说法错误，③排除。</w:t>
      </w:r>
    </w:p>
    <w:p>
      <w:pPr>
        <w:widowControl w:val="0"/>
        <w:spacing w:before="0" w:after="0" w:line="360" w:lineRule="auto"/>
        <w:rPr>
          <w:sz w:val="21"/>
          <w:szCs w:val="21"/>
        </w:rPr>
      </w:pPr>
      <w:r>
        <w:rPr>
          <w:rFonts w:ascii="SimSun" w:eastAsia="SimSun" w:hAnsi="SimSun" w:cs="SimSun"/>
          <w:sz w:val="21"/>
          <w:szCs w:val="21"/>
        </w:rPr>
        <w:t>④：中华民族精神集中体现了中华民族的价值追求、整体风貌和精神特征，而不是兵团精神，④排除。</w:t>
      </w:r>
    </w:p>
    <w:p>
      <w:pPr>
        <w:widowControl w:val="0"/>
        <w:spacing w:before="0" w:after="0" w:line="360" w:lineRule="auto"/>
        <w:rPr>
          <w:sz w:val="21"/>
          <w:szCs w:val="21"/>
        </w:rPr>
      </w:pPr>
      <w:r>
        <w:rPr>
          <w:rFonts w:ascii="SimSun" w:eastAsia="SimSun" w:hAnsi="SimSun" w:cs="SimSun"/>
          <w:sz w:val="21"/>
          <w:szCs w:val="21"/>
        </w:rPr>
        <w:t>故本题选A。</w:t>
      </w:r>
    </w:p>
    <w:p>
      <w:pPr>
        <w:widowControl w:val="0"/>
        <w:spacing w:before="0" w:after="0" w:line="360" w:lineRule="auto"/>
        <w:rPr>
          <w:sz w:val="21"/>
          <w:szCs w:val="21"/>
        </w:rPr>
      </w:pPr>
      <w:r>
        <w:rPr>
          <w:sz w:val="21"/>
          <w:szCs w:val="21"/>
        </w:rPr>
        <w:t>14. 2024</w:t>
      </w:r>
      <w:r>
        <w:rPr>
          <w:rFonts w:ascii="SimSun" w:eastAsia="SimSun" w:hAnsi="SimSun" w:cs="SimSun"/>
          <w:sz w:val="21"/>
          <w:szCs w:val="21"/>
        </w:rPr>
        <w:t>年</w:t>
      </w:r>
      <w:r>
        <w:rPr>
          <w:sz w:val="21"/>
          <w:szCs w:val="21"/>
        </w:rPr>
        <w:t>3</w:t>
      </w:r>
      <w:r>
        <w:rPr>
          <w:rFonts w:ascii="SimSun" w:eastAsia="SimSun" w:hAnsi="SimSun" w:cs="SimSun"/>
          <w:sz w:val="21"/>
          <w:szCs w:val="21"/>
        </w:rPr>
        <w:t>月，国家市场监督管理总局等六部门联合印发《关于加强预制菜食品安全监管促进产业高质量发展的通知》，首次明确了预制菜的定义和范围。</w:t>
      </w:r>
    </w:p>
    <w:tbl>
      <w:tblPr>
        <w:tblW w:w="832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28830"/>
      </w:tblGrid>
      <w:tr>
        <w:tblPrEx>
          <w:tblW w:w="832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8325" w:type="dxa"/>
            <w:noWrap w:val="0"/>
            <w:tcMar>
              <w:top w:w="76" w:type="dxa"/>
              <w:left w:w="120" w:type="dxa"/>
              <w:bottom w:w="76" w:type="dxa"/>
              <w:right w:w="120" w:type="dxa"/>
            </w:tcMar>
            <w:vAlign w:val="center"/>
            <w:hideMark/>
          </w:tcPr>
          <w:p>
            <w:pPr>
              <w:widowControl w:val="0"/>
              <w:spacing w:before="0" w:after="0" w:line="360" w:lineRule="auto"/>
              <w:ind w:firstLine="420"/>
              <w:rPr>
                <w:b w:val="0"/>
                <w:bCs w:val="0"/>
                <w:i w:val="0"/>
                <w:iCs w:val="0"/>
                <w:smallCaps w:val="0"/>
                <w:color w:val="000000"/>
                <w:sz w:val="21"/>
                <w:szCs w:val="21"/>
              </w:rPr>
            </w:pPr>
            <w:r>
              <w:rPr>
                <w:rFonts w:ascii="KaiTi" w:eastAsia="KaiTi" w:hAnsi="KaiTi" w:cs="KaiTi"/>
                <w:b w:val="0"/>
                <w:bCs w:val="0"/>
                <w:i w:val="0"/>
                <w:iCs w:val="0"/>
                <w:smallCaps w:val="0"/>
                <w:color w:val="000000"/>
                <w:sz w:val="21"/>
                <w:szCs w:val="21"/>
              </w:rPr>
              <w:t>预制菜，是以一种或多种食用农产品及其制品为原料，使用或不使用调味料等辅料，不添加防腐剂，经工业化预加工制成，配以或不配以调味料包，符合产品标签标明的贮存、运输及销售条件，加热或熟制后方可食用的预包装菜肴，不包括主食类食品，如速冻面米食品、方便食品、盒饭、馒头、糕点、汉堡等</w:t>
            </w:r>
            <w:r>
              <w:rPr>
                <w:rFonts w:ascii="SimSun" w:eastAsia="SimSun" w:hAnsi="SimSun" w:cs="SimSun"/>
                <w:b w:val="0"/>
                <w:bCs w:val="0"/>
                <w:i w:val="0"/>
                <w:iCs w:val="0"/>
                <w:smallCaps w:val="0"/>
                <w:color w:val="000000"/>
                <w:sz w:val="21"/>
                <w:szCs w:val="21"/>
              </w:rPr>
              <w:t>。</w:t>
            </w:r>
          </w:p>
        </w:tc>
      </w:tr>
    </w:tbl>
    <w:p>
      <w:pPr>
        <w:widowControl w:val="0"/>
        <w:spacing w:before="0" w:after="0" w:line="360" w:lineRule="auto"/>
        <w:rPr>
          <w:sz w:val="21"/>
          <w:szCs w:val="21"/>
        </w:rPr>
      </w:pPr>
      <w:r>
        <w:rPr>
          <w:rFonts w:ascii="SimSun" w:eastAsia="SimSun" w:hAnsi="SimSun" w:cs="SimSun"/>
          <w:sz w:val="21"/>
          <w:szCs w:val="21"/>
        </w:rPr>
        <w:t>据此可判断，下列正确的是（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①预制菜包括以单一食用农产品为原料的预包装菜肴</w:t>
      </w:r>
      <w:r>
        <w:rPr>
          <w:strike w:val="0"/>
          <w:sz w:val="21"/>
          <w:szCs w:val="21"/>
          <w:u w:val="none"/>
        </w:rPr>
        <w:drawing>
          <wp:inline>
            <wp:extent cx="28575" cy="28575"/>
            <wp:docPr id="100131"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②配以调味料包并且未经熟制的食品不是预制菜</w:t>
      </w:r>
    </w:p>
    <w:p>
      <w:pPr>
        <w:widowControl w:val="0"/>
        <w:spacing w:before="0" w:after="0" w:line="360" w:lineRule="auto"/>
        <w:rPr>
          <w:sz w:val="21"/>
          <w:szCs w:val="21"/>
        </w:rPr>
      </w:pPr>
      <w:r>
        <w:rPr>
          <w:rFonts w:ascii="SimSun" w:eastAsia="SimSun" w:hAnsi="SimSun" w:cs="SimSun"/>
          <w:sz w:val="21"/>
          <w:szCs w:val="21"/>
        </w:rPr>
        <w:t>③预制菜是要经过二次加工才能食用的预包装菜肴</w:t>
      </w:r>
    </w:p>
    <w:p>
      <w:pPr>
        <w:widowControl w:val="0"/>
        <w:spacing w:before="0" w:after="0" w:line="360" w:lineRule="auto"/>
        <w:rPr>
          <w:sz w:val="21"/>
          <w:szCs w:val="21"/>
        </w:rPr>
      </w:pPr>
      <w:r>
        <w:rPr>
          <w:rFonts w:ascii="SimSun" w:eastAsia="SimSun" w:hAnsi="SimSun" w:cs="SimSun"/>
          <w:sz w:val="21"/>
          <w:szCs w:val="21"/>
        </w:rPr>
        <w:t>④主食类速食产品都添加有防腐剂，不是预制菜</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①：“预制菜是以一种或多种食用农产品及其制品为原料的预包装菜肴”这是相容的选言判断，要求其选言支至少有一个是真的，这个相容的选言判断就是真的，可推知预制菜包括以单一食用农产品为原料的预包装菜肴，①正确。</w:t>
      </w:r>
    </w:p>
    <w:p>
      <w:pPr>
        <w:widowControl w:val="0"/>
        <w:spacing w:before="0" w:after="0" w:line="360" w:lineRule="auto"/>
        <w:rPr>
          <w:sz w:val="21"/>
          <w:szCs w:val="21"/>
        </w:rPr>
      </w:pPr>
      <w:r>
        <w:rPr>
          <w:rFonts w:ascii="SimSun" w:eastAsia="SimSun" w:hAnsi="SimSun" w:cs="SimSun"/>
          <w:sz w:val="21"/>
          <w:szCs w:val="21"/>
        </w:rPr>
        <w:t>②：“预制菜是使用或不使用调味料等辅料，加热或熟制后方可食用的预包装菜肴”这是相容的选言判断，要求其选言支至少有一个是真的，这个相容的选言判断就是真的，而“配以调味料包并且未经熟制的食品不是预制菜”是联言判断，其联言支必须都是真的，判断才是真的，显然二者的范围不一致，②排除。</w:t>
      </w:r>
    </w:p>
    <w:p>
      <w:pPr>
        <w:widowControl w:val="0"/>
        <w:spacing w:before="0" w:after="0" w:line="360" w:lineRule="auto"/>
        <w:rPr>
          <w:sz w:val="21"/>
          <w:szCs w:val="21"/>
        </w:rPr>
      </w:pPr>
      <w:r>
        <w:rPr>
          <w:rFonts w:ascii="SimSun" w:eastAsia="SimSun" w:hAnsi="SimSun" w:cs="SimSun"/>
          <w:sz w:val="21"/>
          <w:szCs w:val="21"/>
        </w:rPr>
        <w:t>③：“预制菜是加热或熟制后方可食用的预包装菜肴”这是相容的选言判断，要求其选言支至少有一个是真的，这个相容的选言判断就是真的，可推知不论加热或熟制，都必须经过二次加工才能食用，③正确。</w:t>
      </w:r>
    </w:p>
    <w:p>
      <w:pPr>
        <w:widowControl w:val="0"/>
        <w:spacing w:before="0" w:after="0" w:line="360" w:lineRule="auto"/>
        <w:rPr>
          <w:sz w:val="21"/>
          <w:szCs w:val="21"/>
        </w:rPr>
      </w:pPr>
      <w:r>
        <w:rPr>
          <w:rFonts w:ascii="Cambria Math" w:eastAsia="Cambria Math" w:hAnsi="Cambria Math" w:cs="Cambria Math"/>
          <w:sz w:val="21"/>
          <w:szCs w:val="21"/>
        </w:rPr>
        <w:t>④</w:t>
      </w:r>
      <w:r>
        <w:rPr>
          <w:rFonts w:ascii="SimSun" w:eastAsia="SimSun" w:hAnsi="SimSun" w:cs="SimSun"/>
          <w:sz w:val="21"/>
          <w:szCs w:val="21"/>
        </w:rPr>
        <w:t>：预制菜有多种属性，预制菜的定义是联言判断，其联言支必须都是真的，判断才是真的，可推知预制菜不包括主食类食品，不一定是因为主食类速食产品都添加有防腐剂，而且主食类速食产品是否都添加有防腐剂</w:t>
      </w:r>
      <w:r>
        <w:rPr>
          <w:sz w:val="21"/>
          <w:szCs w:val="21"/>
        </w:rPr>
        <w:t>‌</w:t>
      </w:r>
      <w:r>
        <w:rPr>
          <w:rFonts w:ascii="SimSun" w:eastAsia="SimSun" w:hAnsi="SimSun" w:cs="SimSun"/>
          <w:sz w:val="21"/>
          <w:szCs w:val="21"/>
        </w:rPr>
        <w:t>，取决于具体的产品类型和生产工艺，</w:t>
      </w:r>
      <w:r>
        <w:rPr>
          <w:rFonts w:ascii="Cambria Math" w:eastAsia="Cambria Math" w:hAnsi="Cambria Math" w:cs="Cambria Math"/>
          <w:sz w:val="21"/>
          <w:szCs w:val="21"/>
        </w:rPr>
        <w:t>④</w:t>
      </w:r>
      <w:r>
        <w:rPr>
          <w:rFonts w:ascii="SimSun" w:eastAsia="SimSun" w:hAnsi="SimSun" w:cs="SimSun"/>
          <w:sz w:val="21"/>
          <w:szCs w:val="21"/>
        </w:rPr>
        <w:t>排除。</w:t>
      </w:r>
    </w:p>
    <w:p>
      <w:pPr>
        <w:widowControl w:val="0"/>
        <w:spacing w:before="0" w:after="0" w:line="360" w:lineRule="auto"/>
        <w:rPr>
          <w:sz w:val="21"/>
          <w:szCs w:val="21"/>
        </w:rPr>
      </w:pPr>
      <w:r>
        <w:rPr>
          <w:rFonts w:ascii="SimSun" w:eastAsia="SimSun" w:hAnsi="SimSun" w:cs="SimSun"/>
          <w:sz w:val="21"/>
          <w:szCs w:val="21"/>
        </w:rPr>
        <w:t>故本题选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若劳动教育只是“黑板上种庄稼，教室里开机器”，则学生仍会对劳动“无动于衷”。学生只有参加劳动实践并看到自己的劳动成果，才能体会到“人世间的一切成就和幸福都源于劳动创造”。</w:t>
      </w:r>
    </w:p>
    <w:p>
      <w:pPr>
        <w:widowControl w:val="0"/>
        <w:spacing w:before="0" w:after="0" w:line="360" w:lineRule="auto"/>
        <w:rPr>
          <w:sz w:val="21"/>
          <w:szCs w:val="21"/>
        </w:rPr>
      </w:pPr>
      <w:r>
        <w:rPr>
          <w:rFonts w:ascii="SimSun" w:eastAsia="SimSun" w:hAnsi="SimSun" w:cs="SimSun"/>
          <w:sz w:val="21"/>
          <w:szCs w:val="21"/>
        </w:rPr>
        <w:t>假设上述观点成立，以下判断必定为真的是（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若学生对劳动仍“无动于衷”，则劳动教育只是“黑板上种庄稼，教室里开机器”</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若劳动教育不只是“黑板上种庄稼，教室里开机器”，学生就不会对劳动“无动于衷”</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若学生体会不到“人世间的一切成就和幸福都源于劳动创造”，则学生或者没参加劳动实践或者没看到自己的劳动成果</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若学生体会到“人世间的一切成就和幸福都源于劳动创造”，则学生既参加了劳动实践也看到了自己的劳动成果</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r>
        <w:rPr>
          <w:strike w:val="0"/>
          <w:sz w:val="21"/>
          <w:szCs w:val="21"/>
          <w:u w:val="none"/>
        </w:rPr>
        <w:drawing>
          <wp:inline>
            <wp:extent cx="28575" cy="28575"/>
            <wp:docPr id="100145" name=""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详解】A：题干中若劳动教育只是“黑板上种庄稼，教室里开机器”，则学生仍会对劳动“无动于衷”，这是一个充分条件假言判断，其推理的有效式为肯定前件式和否定后件式。而选项是属于肯定后件式，属于充分条件假言推理的无效式，判断为假，A排除。</w:t>
      </w:r>
    </w:p>
    <w:p>
      <w:pPr>
        <w:widowControl w:val="0"/>
        <w:spacing w:before="0" w:after="0" w:line="360" w:lineRule="auto"/>
        <w:rPr>
          <w:sz w:val="21"/>
          <w:szCs w:val="21"/>
        </w:rPr>
      </w:pPr>
      <w:r>
        <w:rPr>
          <w:rFonts w:ascii="SimSun" w:eastAsia="SimSun" w:hAnsi="SimSun" w:cs="SimSun"/>
          <w:sz w:val="21"/>
          <w:szCs w:val="21"/>
        </w:rPr>
        <w:t>B：选项属于充分条件假言判断中的否定前件式，是充分条件假言推理的无效式，判断为假，B排除。</w:t>
      </w:r>
    </w:p>
    <w:p>
      <w:pPr>
        <w:widowControl w:val="0"/>
        <w:spacing w:before="0" w:after="0" w:line="360" w:lineRule="auto"/>
        <w:rPr>
          <w:sz w:val="21"/>
          <w:szCs w:val="21"/>
        </w:rPr>
      </w:pPr>
      <w:r>
        <w:rPr>
          <w:rFonts w:ascii="SimSun" w:eastAsia="SimSun" w:hAnsi="SimSun" w:cs="SimSun"/>
          <w:sz w:val="21"/>
          <w:szCs w:val="21"/>
        </w:rPr>
        <w:t>C：题干中学生只有参加劳动实践并看到自己的劳动成果，才能体会到“人世间的一切成就和幸福都源于劳动创造”，这是一个必要条件假言判断，其推理的有效式为肯定后件式和否定前件式。而选项是属于否定后件式，属于必要条件假言推理的无效式，判断为假，C排除。</w:t>
      </w:r>
    </w:p>
    <w:p>
      <w:pPr>
        <w:widowControl w:val="0"/>
        <w:spacing w:before="0" w:after="0" w:line="360" w:lineRule="auto"/>
        <w:rPr>
          <w:sz w:val="21"/>
          <w:szCs w:val="21"/>
        </w:rPr>
      </w:pPr>
      <w:r>
        <w:rPr>
          <w:rFonts w:ascii="SimSun" w:eastAsia="SimSun" w:hAnsi="SimSun" w:cs="SimSun"/>
          <w:sz w:val="21"/>
          <w:szCs w:val="21"/>
        </w:rPr>
        <w:t>D：选项属于必要条件假言判断中的肯定后件式，是必要条件假言推理的有效式，判断为真，D正确。</w:t>
      </w:r>
    </w:p>
    <w:p>
      <w:pPr>
        <w:widowControl w:val="0"/>
        <w:spacing w:before="0" w:after="0" w:line="360" w:lineRule="auto"/>
        <w:rPr>
          <w:sz w:val="21"/>
          <w:szCs w:val="21"/>
        </w:rPr>
      </w:pPr>
      <w:r>
        <w:rPr>
          <w:rFonts w:ascii="SimSun" w:eastAsia="SimSun" w:hAnsi="SimSun" w:cs="SimSun"/>
          <w:sz w:val="21"/>
          <w:szCs w:val="21"/>
        </w:rPr>
        <w:t>故本题选D。</w:t>
      </w:r>
    </w:p>
    <w:p>
      <w:pPr>
        <w:widowControl w:val="0"/>
        <w:spacing w:before="0" w:after="0" w:line="286" w:lineRule="auto"/>
      </w:pPr>
      <w:r>
        <w:rPr>
          <w:rFonts w:ascii="SimSun" w:eastAsia="SimSun" w:hAnsi="SimSun" w:cs="SimSun"/>
          <w:b/>
          <w:bCs/>
        </w:rPr>
        <w:t>二、非选择题：本题共</w:t>
      </w:r>
      <w:r>
        <w:rPr>
          <w:b/>
          <w:bCs/>
        </w:rPr>
        <w:t>4</w:t>
      </w:r>
      <w:r>
        <w:rPr>
          <w:rFonts w:ascii="SimSun" w:eastAsia="SimSun" w:hAnsi="SimSun" w:cs="SimSun"/>
          <w:b/>
          <w:bCs/>
        </w:rPr>
        <w:t>小题，共</w:t>
      </w:r>
      <w:r>
        <w:rPr>
          <w:b/>
          <w:bCs/>
        </w:rPr>
        <w:t>55</w:t>
      </w:r>
      <w:r>
        <w:rPr>
          <w:rFonts w:ascii="SimSun" w:eastAsia="SimSun" w:hAnsi="SimSun" w:cs="SimSun"/>
          <w:b/>
          <w:bCs/>
        </w:rPr>
        <w:t>分。</w:t>
      </w: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阅读材料，完成下列要求。</w:t>
      </w:r>
    </w:p>
    <w:p>
      <w:pPr>
        <w:widowControl w:val="0"/>
        <w:spacing w:before="0" w:after="0" w:line="360" w:lineRule="auto"/>
        <w:ind w:firstLine="420"/>
        <w:rPr>
          <w:sz w:val="21"/>
          <w:szCs w:val="21"/>
        </w:rPr>
      </w:pPr>
      <w:r>
        <w:rPr>
          <w:rFonts w:ascii="KaiTi" w:eastAsia="KaiTi" w:hAnsi="KaiTi" w:cs="KaiTi"/>
          <w:sz w:val="21"/>
          <w:szCs w:val="21"/>
        </w:rPr>
        <w:t>习近平总书记强调，“加快产品更新换代是推动高质量发展的重要举措”。</w:t>
      </w:r>
    </w:p>
    <w:p>
      <w:pPr>
        <w:widowControl w:val="0"/>
        <w:spacing w:before="0" w:after="0" w:line="360" w:lineRule="auto"/>
        <w:ind w:firstLine="420"/>
        <w:jc w:val="center"/>
        <w:rPr>
          <w:sz w:val="21"/>
          <w:szCs w:val="21"/>
        </w:rPr>
      </w:pPr>
      <w:r>
        <w:rPr>
          <w:rFonts w:ascii="KaiTi" w:eastAsia="KaiTi" w:hAnsi="KaiTi" w:cs="KaiTi"/>
          <w:sz w:val="21"/>
          <w:szCs w:val="21"/>
        </w:rPr>
        <w:t>【旧产品换出新动能】</w:t>
      </w:r>
    </w:p>
    <w:p>
      <w:pPr>
        <w:widowControl w:val="0"/>
        <w:spacing w:before="0" w:after="0" w:line="360" w:lineRule="auto"/>
        <w:ind w:firstLine="420"/>
        <w:rPr>
          <w:sz w:val="21"/>
          <w:szCs w:val="21"/>
        </w:rPr>
      </w:pPr>
      <w:r>
        <w:rPr>
          <w:rFonts w:ascii="KaiTi" w:eastAsia="KaiTi" w:hAnsi="KaiTi" w:cs="KaiTi"/>
          <w:sz w:val="21"/>
          <w:szCs w:val="21"/>
        </w:rPr>
        <w:t>我国是制造业大国和人口大国。目前，我国全社会工业设备存量资产约28万亿元，但随着技术进步，现有设备能耗商、智能化程度低，已无法满足生产发展的需要。我国民用汽车保有量超3亿辆，家电保有量超30亿台，但整体偏于老旧，不能满足居民日益增长的品质化、多样化消费需求。在此背景下，国务院部署实施大规模设备更新和消费品以旧换新行动。</w:t>
      </w:r>
    </w:p>
    <w:tbl>
      <w:tblPr>
        <w:tblW w:w="832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8460"/>
        <w:gridCol w:w="8250"/>
      </w:tblGrid>
      <w:tr>
        <w:tblPrEx>
          <w:tblW w:w="832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4155" w:type="dxa"/>
            <w:tcBorders>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ind w:firstLine="420"/>
              <w:jc w:val="center"/>
              <w:rPr>
                <w:b w:val="0"/>
                <w:bCs w:val="0"/>
                <w:i w:val="0"/>
                <w:iCs w:val="0"/>
                <w:smallCaps w:val="0"/>
                <w:color w:val="000000"/>
                <w:sz w:val="21"/>
                <w:szCs w:val="21"/>
              </w:rPr>
            </w:pPr>
            <w:r>
              <w:rPr>
                <w:rFonts w:ascii="KaiTi" w:eastAsia="KaiTi" w:hAnsi="KaiTi" w:cs="KaiTi"/>
                <w:b w:val="0"/>
                <w:bCs w:val="0"/>
                <w:i w:val="0"/>
                <w:iCs w:val="0"/>
                <w:smallCaps w:val="0"/>
                <w:color w:val="000000"/>
                <w:sz w:val="21"/>
                <w:szCs w:val="21"/>
              </w:rPr>
              <w:t>设备更新</w:t>
            </w:r>
          </w:p>
          <w:p>
            <w:pPr>
              <w:widowControl w:val="0"/>
              <w:spacing w:before="0" w:after="0" w:line="360" w:lineRule="auto"/>
              <w:rPr>
                <w:b w:val="0"/>
                <w:bCs w:val="0"/>
                <w:i w:val="0"/>
                <w:iCs w:val="0"/>
                <w:smallCaps w:val="0"/>
                <w:color w:val="000000"/>
                <w:sz w:val="21"/>
                <w:szCs w:val="21"/>
              </w:rPr>
            </w:pPr>
            <w:r>
              <w:rPr>
                <w:rFonts w:ascii="KaiTi" w:eastAsia="KaiTi" w:hAnsi="KaiTi" w:cs="KaiTi"/>
                <w:b w:val="0"/>
                <w:bCs w:val="0"/>
                <w:i w:val="0"/>
                <w:iCs w:val="0"/>
                <w:smallCaps w:val="0"/>
                <w:color w:val="000000"/>
                <w:sz w:val="21"/>
                <w:szCs w:val="21"/>
              </w:rPr>
              <w:t>范围：工业、农业等领域设备</w:t>
            </w:r>
          </w:p>
          <w:p>
            <w:pPr>
              <w:widowControl w:val="0"/>
              <w:spacing w:before="0" w:after="0" w:line="360" w:lineRule="auto"/>
              <w:rPr>
                <w:b w:val="0"/>
                <w:bCs w:val="0"/>
                <w:i w:val="0"/>
                <w:iCs w:val="0"/>
                <w:smallCaps w:val="0"/>
                <w:color w:val="000000"/>
                <w:sz w:val="21"/>
                <w:szCs w:val="21"/>
              </w:rPr>
            </w:pPr>
            <w:r>
              <w:rPr>
                <w:rFonts w:ascii="KaiTi" w:eastAsia="KaiTi" w:hAnsi="KaiTi" w:cs="KaiTi"/>
                <w:b w:val="0"/>
                <w:bCs w:val="0"/>
                <w:i w:val="0"/>
                <w:iCs w:val="0"/>
                <w:smallCaps w:val="0"/>
                <w:color w:val="000000"/>
                <w:sz w:val="21"/>
                <w:szCs w:val="21"/>
              </w:rPr>
              <w:t>行动方式：围绕节能降碳、数字化转型、智能化升级等方向，推进重点行业设备更新改造</w:t>
            </w:r>
          </w:p>
        </w:tc>
        <w:tc>
          <w:tcPr>
            <w:tcW w:w="4155" w:type="dxa"/>
            <w:tcBorders>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ind w:firstLine="420"/>
              <w:jc w:val="center"/>
              <w:rPr>
                <w:b w:val="0"/>
                <w:bCs w:val="0"/>
                <w:i w:val="0"/>
                <w:iCs w:val="0"/>
                <w:smallCaps w:val="0"/>
                <w:color w:val="000000"/>
                <w:sz w:val="21"/>
                <w:szCs w:val="21"/>
              </w:rPr>
            </w:pPr>
            <w:r>
              <w:rPr>
                <w:rFonts w:ascii="KaiTi" w:eastAsia="KaiTi" w:hAnsi="KaiTi" w:cs="KaiTi"/>
                <w:b w:val="0"/>
                <w:bCs w:val="0"/>
                <w:i w:val="0"/>
                <w:iCs w:val="0"/>
                <w:smallCaps w:val="0"/>
                <w:color w:val="000000"/>
                <w:sz w:val="21"/>
                <w:szCs w:val="21"/>
              </w:rPr>
              <w:t>消费品以旧换新</w:t>
            </w:r>
          </w:p>
          <w:p>
            <w:pPr>
              <w:widowControl w:val="0"/>
              <w:spacing w:before="0" w:after="0" w:line="360" w:lineRule="auto"/>
              <w:rPr>
                <w:b w:val="0"/>
                <w:bCs w:val="0"/>
                <w:i w:val="0"/>
                <w:iCs w:val="0"/>
                <w:smallCaps w:val="0"/>
                <w:color w:val="000000"/>
                <w:sz w:val="21"/>
                <w:szCs w:val="21"/>
              </w:rPr>
            </w:pPr>
            <w:r>
              <w:rPr>
                <w:rFonts w:ascii="KaiTi" w:eastAsia="KaiTi" w:hAnsi="KaiTi" w:cs="KaiTi"/>
                <w:b w:val="0"/>
                <w:bCs w:val="0"/>
                <w:i w:val="0"/>
                <w:iCs w:val="0"/>
                <w:smallCaps w:val="0"/>
                <w:color w:val="000000"/>
                <w:sz w:val="21"/>
                <w:szCs w:val="21"/>
              </w:rPr>
              <w:t>范围：汽车、家电、家居等耐用消费品</w:t>
            </w:r>
          </w:p>
          <w:p>
            <w:pPr>
              <w:widowControl w:val="0"/>
              <w:spacing w:before="0" w:after="0" w:line="360" w:lineRule="auto"/>
              <w:rPr>
                <w:b w:val="0"/>
                <w:bCs w:val="0"/>
                <w:i w:val="0"/>
                <w:iCs w:val="0"/>
                <w:smallCaps w:val="0"/>
                <w:color w:val="000000"/>
                <w:sz w:val="21"/>
                <w:szCs w:val="21"/>
              </w:rPr>
            </w:pPr>
            <w:r>
              <w:rPr>
                <w:rFonts w:ascii="KaiTi" w:eastAsia="KaiTi" w:hAnsi="KaiTi" w:cs="KaiTi"/>
                <w:b w:val="0"/>
                <w:bCs w:val="0"/>
                <w:i w:val="0"/>
                <w:iCs w:val="0"/>
                <w:smallCaps w:val="0"/>
                <w:color w:val="000000"/>
                <w:sz w:val="21"/>
                <w:szCs w:val="21"/>
              </w:rPr>
              <w:t>行动方式：通过政府补贴、企业让利，提供价格实惠、智能绿色的产品，鼓励居民换新</w:t>
            </w:r>
          </w:p>
        </w:tc>
      </w:tr>
    </w:tbl>
    <w:p>
      <w:pPr>
        <w:widowControl w:val="0"/>
        <w:spacing w:before="0" w:after="0" w:line="360" w:lineRule="auto"/>
        <w:rPr>
          <w:sz w:val="21"/>
          <w:szCs w:val="21"/>
        </w:rPr>
      </w:pP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）实行大规模设备更新和消费品以旧换新，既利当前、更利长远。请结合材料，运用《经济与社会》知识对此加以说明。</w:t>
      </w:r>
    </w:p>
    <w:p>
      <w:pPr>
        <w:widowControl w:val="0"/>
        <w:spacing w:before="0" w:after="0" w:line="360" w:lineRule="auto"/>
        <w:ind w:firstLine="420"/>
        <w:jc w:val="center"/>
        <w:rPr>
          <w:sz w:val="21"/>
          <w:szCs w:val="21"/>
        </w:rPr>
      </w:pPr>
      <w:r>
        <w:rPr>
          <w:rFonts w:ascii="KaiTi" w:eastAsia="KaiTi" w:hAnsi="KaiTi" w:cs="KaiTi"/>
          <w:sz w:val="21"/>
          <w:szCs w:val="21"/>
        </w:rPr>
        <w:t>【旧产品进入新循环】</w:t>
      </w:r>
    </w:p>
    <w:p>
      <w:pPr>
        <w:widowControl w:val="0"/>
        <w:spacing w:before="0" w:after="0" w:line="360" w:lineRule="auto"/>
        <w:ind w:firstLine="420"/>
        <w:rPr>
          <w:sz w:val="21"/>
          <w:szCs w:val="21"/>
        </w:rPr>
      </w:pPr>
      <w:r>
        <w:rPr>
          <w:rFonts w:ascii="KaiTi" w:eastAsia="KaiTi" w:hAnsi="KaiTi" w:cs="KaiTi"/>
          <w:sz w:val="21"/>
          <w:szCs w:val="21"/>
        </w:rPr>
        <w:t>Y县循环经济产业园区是河南省省级绿色工业园区（以下简称园区）。园区自2021年起明确了循环经济发展思路，布局绿色产业集群发展，走出了一条绿色、低碳、高效的循环经济高质量发展之路。</w:t>
      </w:r>
    </w:p>
    <w:p>
      <w:pPr>
        <w:widowControl w:val="0"/>
        <w:spacing w:before="0" w:after="0" w:line="360" w:lineRule="auto"/>
        <w:ind w:firstLine="420"/>
        <w:rPr>
          <w:sz w:val="21"/>
          <w:szCs w:val="21"/>
        </w:rPr>
      </w:pPr>
      <w:r>
        <w:rPr>
          <w:rFonts w:ascii="KaiTi" w:eastAsia="KaiTi" w:hAnsi="KaiTi" w:cs="KaiTi"/>
          <w:sz w:val="21"/>
          <w:szCs w:val="21"/>
        </w:rPr>
        <w:t>立足“变废为宝”，园区相继引进数十家回收生活垃圾、废旧动力电池、废旧汽车等不同废弃资源的企业，再生出电能、热能、贵金属、塑料等资源。依据企业产能、用能的关联性，园区依托重点企业为关</w:t>
      </w:r>
      <w:r>
        <w:rPr>
          <w:strike w:val="0"/>
          <w:sz w:val="21"/>
          <w:szCs w:val="21"/>
          <w:u w:val="none"/>
        </w:rPr>
        <w:drawing>
          <wp:inline>
            <wp:extent cx="28575" cy="28575"/>
            <wp:docPr id="100159" name=""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KaiTi" w:eastAsia="KaiTi" w:hAnsi="KaiTi" w:cs="KaiTi"/>
          <w:sz w:val="21"/>
          <w:szCs w:val="21"/>
        </w:rPr>
        <w:t>键节点，构建出包括水、电、热、油等多种再生资源生产与利用的“绿色、高效”循环经济产业链闭环。</w:t>
      </w:r>
    </w:p>
    <w:p>
      <w:pPr>
        <w:widowControl w:val="0"/>
        <w:spacing w:before="0" w:after="0" w:line="360" w:lineRule="auto"/>
        <w:ind w:firstLine="420"/>
        <w:rPr>
          <w:sz w:val="21"/>
          <w:szCs w:val="21"/>
        </w:rPr>
      </w:pPr>
      <w:r>
        <w:rPr>
          <w:rFonts w:ascii="KaiTi" w:eastAsia="KaiTi" w:hAnsi="KaiTi" w:cs="KaiTi"/>
          <w:sz w:val="21"/>
          <w:szCs w:val="21"/>
        </w:rPr>
        <w:t>为持续推动循环经济产业规模化、集聚化发展，园区以延链补链强链为抓手，以精拆细分及高值化循环利用为重点，引入“化工+”、食品类等企业延链扩容、充链扩环，促进循环经济产业链不断迭代升级。截至2024年9月，园区已入驻企业110余家，产业链条延至园区外。打造企业内、园区内、行业内三种循环，成为园区的下一个目标。</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）结合材料，运用发散思维与聚合思维的知识，分析该园区实现循环经济产业规模化、集聚化发展的过程。</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①有利于促进投资和消费，统筹扩大内需和深化供给侧结构性改革，形成需求牵引供给、供给创造需求的良性循环，依托我国超大规模市场优势，增强国内大循环的内生动力和可靠性。②更好地贯彻创新、绿色发展理念，推动设备向高端、智能、绿色、安全方向升级，实现资源优化配置，带动我国制造业整体竞争力提升，建设现代化经济体系，促进经济高质量发展。③激发企业创新潜力，提高企业的生产效率和产品质量，进而增强企业市场竞争力。④更好的贯彻以人民为中心的发展思想，推动高质量消费品更多进入居民生活，释放消费潜力，提高人民的生活水平，满足人民的美好生活需要。（原卷无答案，此答案仅供参考）</w:t>
      </w:r>
      <w:r>
        <w:rPr>
          <w:rFonts w:ascii="SimSun" w:eastAsia="SimSun" w:hAnsi="SimSun" w:cs="SimSun"/>
          <w:sz w:val="21"/>
          <w:szCs w:val="21"/>
        </w:rPr>
        <w:t> </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①发散思维是根据已知的事物信息，从不同角度、不同的方向思考，以寻求解决问题的多样性答案的思维方式。该园区引进不同废弃资源的企业，依据企业产能、用能的关联性，构建出多种再生资源生产与利用的循环经济产业链闭环。②聚合思维是利用已有的知识和经验，把众多信息逐步引导到条理化的逻辑思路中，以便得出合乎逻辑的解决问题的方案。该园区以延链补链强链为抓手，以精拆细分及高值化循环利用为重点，从而促进循环经济产业链不断迭代升级。（原卷无答案，此答案仅供参考）</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【分析】背景素材：实行大规模设备更新和消费品以旧换新、Y县循环经济产业园区</w:t>
      </w:r>
      <w:r>
        <w:rPr>
          <w:strike w:val="0"/>
          <w:sz w:val="21"/>
          <w:szCs w:val="21"/>
          <w:u w:val="none"/>
        </w:rPr>
        <w:drawing>
          <wp:inline>
            <wp:extent cx="133350" cy="180975"/>
            <wp:docPr id="10017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
                    <pic:cNvPicPr>
                      <a:picLocks noChangeAspect="1"/>
                    </pic:cNvPicPr>
                  </pic:nvPicPr>
                  <pic:blipFill>
                    <a:blip xmlns:r="http://schemas.openxmlformats.org/officeDocument/2006/relationships" r:embed="rId7"/>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发展</w:t>
      </w:r>
    </w:p>
    <w:p>
      <w:pPr>
        <w:widowControl w:val="0"/>
        <w:spacing w:before="0" w:after="0" w:line="360" w:lineRule="auto"/>
        <w:rPr>
          <w:sz w:val="21"/>
          <w:szCs w:val="21"/>
        </w:rPr>
      </w:pPr>
      <w:r>
        <w:rPr>
          <w:rFonts w:ascii="SimSun" w:eastAsia="SimSun" w:hAnsi="SimSun" w:cs="SimSun"/>
          <w:sz w:val="21"/>
          <w:szCs w:val="21"/>
        </w:rPr>
        <w:t>考点考查：我国的经济发展、发散思维与聚合思维的方法</w:t>
      </w:r>
    </w:p>
    <w:p>
      <w:pPr>
        <w:widowControl w:val="0"/>
        <w:spacing w:before="0" w:after="0" w:line="360" w:lineRule="auto"/>
        <w:rPr>
          <w:sz w:val="21"/>
          <w:szCs w:val="21"/>
        </w:rPr>
      </w:pPr>
      <w:r>
        <w:rPr>
          <w:rFonts w:ascii="SimSun" w:eastAsia="SimSun" w:hAnsi="SimSun" w:cs="SimSun"/>
          <w:sz w:val="21"/>
          <w:szCs w:val="21"/>
        </w:rPr>
        <w:t>能力考查：获取和解读信息、调动和运用知识、描述和阐述事物</w:t>
      </w:r>
    </w:p>
    <w:p>
      <w:pPr>
        <w:widowControl w:val="0"/>
        <w:spacing w:before="0" w:after="0" w:line="360" w:lineRule="auto"/>
        <w:rPr>
          <w:sz w:val="21"/>
          <w:szCs w:val="21"/>
        </w:rPr>
      </w:pPr>
      <w:r>
        <w:rPr>
          <w:rFonts w:ascii="SimSun" w:eastAsia="SimSun" w:hAnsi="SimSun" w:cs="SimSun"/>
          <w:sz w:val="21"/>
          <w:szCs w:val="21"/>
        </w:rPr>
        <w:t>核心素养：政治认同、科学精神</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第一步：审设问，明确主体、作答范围、问题限定和作答角度。本题属于分析说明类主观题，需调用我国的经济发展的相关知识结合材料有效信息分析作答。</w:t>
      </w:r>
    </w:p>
    <w:p>
      <w:pPr>
        <w:widowControl w:val="0"/>
        <w:spacing w:before="0" w:after="0" w:line="360" w:lineRule="auto"/>
        <w:rPr>
          <w:sz w:val="21"/>
          <w:szCs w:val="21"/>
        </w:rPr>
      </w:pPr>
      <w:r>
        <w:rPr>
          <w:rFonts w:ascii="SimSun" w:eastAsia="SimSun" w:hAnsi="SimSun" w:cs="SimSun"/>
          <w:sz w:val="21"/>
          <w:szCs w:val="21"/>
        </w:rPr>
        <w:t>第二步：审材料，提取关键词，链接教材知识。</w:t>
      </w:r>
    </w:p>
    <w:p>
      <w:pPr>
        <w:widowControl w:val="0"/>
        <w:spacing w:before="0" w:after="0" w:line="360" w:lineRule="auto"/>
        <w:rPr>
          <w:sz w:val="21"/>
          <w:szCs w:val="21"/>
        </w:rPr>
      </w:pPr>
      <w:r>
        <w:rPr>
          <w:rFonts w:ascii="SimSun" w:eastAsia="SimSun" w:hAnsi="SimSun" w:cs="SimSun"/>
          <w:sz w:val="21"/>
          <w:szCs w:val="21"/>
        </w:rPr>
        <w:t>关键词①：实行大规模设备更新和消费品以旧换新。→可联系教材扩大内需和深化供给侧结构性改革。</w:t>
      </w:r>
    </w:p>
    <w:p>
      <w:pPr>
        <w:widowControl w:val="0"/>
        <w:spacing w:before="0" w:after="0" w:line="360" w:lineRule="auto"/>
        <w:rPr>
          <w:sz w:val="21"/>
          <w:szCs w:val="21"/>
        </w:rPr>
      </w:pPr>
      <w:r>
        <w:rPr>
          <w:rFonts w:ascii="SimSun" w:eastAsia="SimSun" w:hAnsi="SimSun" w:cs="SimSun"/>
          <w:sz w:val="21"/>
          <w:szCs w:val="21"/>
        </w:rPr>
        <w:t>关键词②：围绕节能降碳、数字化转型、智能化升级等方向，推进重点行业设备更新改造。→可联系教材</w:t>
      </w:r>
      <w:r>
        <w:rPr>
          <w:strike w:val="0"/>
          <w:sz w:val="21"/>
          <w:szCs w:val="21"/>
          <w:u w:val="none"/>
        </w:rPr>
        <w:drawing>
          <wp:inline>
            <wp:extent cx="28575" cy="28575"/>
            <wp:docPr id="100175" name=""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贯彻新发展理念，产业结构优化升级。</w:t>
      </w:r>
    </w:p>
    <w:p>
      <w:pPr>
        <w:widowControl w:val="0"/>
        <w:spacing w:before="0" w:after="0" w:line="360" w:lineRule="auto"/>
        <w:rPr>
          <w:sz w:val="21"/>
          <w:szCs w:val="21"/>
        </w:rPr>
      </w:pPr>
      <w:r>
        <w:rPr>
          <w:rFonts w:ascii="SimSun" w:eastAsia="SimSun" w:hAnsi="SimSun" w:cs="SimSun"/>
          <w:sz w:val="21"/>
          <w:szCs w:val="21"/>
        </w:rPr>
        <w:t>关键词③：现有设备能耗商、智能化程度低，已无法满足生产发展的需要。不能满足居民日益增长的品质化、多样化消费需求。→可联系教材企业发展。</w:t>
      </w:r>
    </w:p>
    <w:p>
      <w:pPr>
        <w:widowControl w:val="0"/>
        <w:spacing w:before="0" w:after="0" w:line="360" w:lineRule="auto"/>
        <w:rPr>
          <w:sz w:val="21"/>
          <w:szCs w:val="21"/>
        </w:rPr>
      </w:pPr>
      <w:r>
        <w:rPr>
          <w:rFonts w:ascii="SimSun" w:eastAsia="SimSun" w:hAnsi="SimSun" w:cs="SimSun"/>
          <w:sz w:val="21"/>
          <w:szCs w:val="21"/>
        </w:rPr>
        <w:t>关键词④：通过政府补贴、企业让利，提供价格实惠、智能绿色的产品，鼓励居民换新。→可联系教材以人民为中心的发展思想，释放消费潜力。</w:t>
      </w:r>
    </w:p>
    <w:p>
      <w:pPr>
        <w:widowControl w:val="0"/>
        <w:spacing w:before="0" w:after="0" w:line="360" w:lineRule="auto"/>
        <w:rPr>
          <w:sz w:val="21"/>
          <w:szCs w:val="21"/>
        </w:rPr>
      </w:pPr>
      <w:r>
        <w:rPr>
          <w:rFonts w:ascii="SimSun" w:eastAsia="SimSun" w:hAnsi="SimSun" w:cs="SimSun"/>
          <w:sz w:val="21"/>
          <w:szCs w:val="21"/>
        </w:rPr>
        <w:t>第三步：整合信息，组织答案。注意设问限定以及教材知识与材料、时政信息等相结合。</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第一步：审设问，明确主体、作答范围、问题限定和作答角度。本题属于分析说明类主观题，需调用发散思维与聚合思维的方法的相关知识结合材料有效信息分析作答。</w:t>
      </w:r>
    </w:p>
    <w:p>
      <w:pPr>
        <w:widowControl w:val="0"/>
        <w:spacing w:before="0" w:after="0" w:line="360" w:lineRule="auto"/>
        <w:rPr>
          <w:sz w:val="21"/>
          <w:szCs w:val="21"/>
        </w:rPr>
      </w:pPr>
      <w:r>
        <w:rPr>
          <w:rFonts w:ascii="SimSun" w:eastAsia="SimSun" w:hAnsi="SimSun" w:cs="SimSun"/>
          <w:sz w:val="21"/>
          <w:szCs w:val="21"/>
        </w:rPr>
        <w:t>第二步：审材料，提取关键词，链接教材知识。</w:t>
      </w:r>
    </w:p>
    <w:p>
      <w:pPr>
        <w:widowControl w:val="0"/>
        <w:spacing w:before="0" w:after="0" w:line="360" w:lineRule="auto"/>
        <w:rPr>
          <w:sz w:val="21"/>
          <w:szCs w:val="21"/>
        </w:rPr>
      </w:pPr>
      <w:r>
        <w:rPr>
          <w:rFonts w:ascii="SimSun" w:eastAsia="SimSun" w:hAnsi="SimSun" w:cs="SimSun"/>
          <w:sz w:val="21"/>
          <w:szCs w:val="21"/>
        </w:rPr>
        <w:t>关键词①：园区相继引进数十家回收生活垃圾、废旧动力电池、废旧汽车等不同废弃资源的企业，再生出电能、热能、贵金属、塑料等资源。构建出包括水、电、热、油等多种再生资源生产与利用的“绿色、高效”循环经济产业链闭环。→可联系教材发散思维的方法。</w:t>
      </w:r>
    </w:p>
    <w:p>
      <w:pPr>
        <w:widowControl w:val="0"/>
        <w:spacing w:before="0" w:after="0" w:line="360" w:lineRule="auto"/>
        <w:rPr>
          <w:sz w:val="21"/>
          <w:szCs w:val="21"/>
        </w:rPr>
      </w:pPr>
      <w:r>
        <w:rPr>
          <w:rFonts w:ascii="SimSun" w:eastAsia="SimSun" w:hAnsi="SimSun" w:cs="SimSun"/>
          <w:sz w:val="21"/>
          <w:szCs w:val="21"/>
        </w:rPr>
        <w:t>关键词②：园区以延链补链强链为抓手，以精拆细分及高值化循环利用为重点，引入“化工+”、食品类等企业延链扩容、充链扩环，促进循环经济产业链不断迭代升级。→可联系教材聚合思维的方法。</w:t>
      </w:r>
    </w:p>
    <w:p>
      <w:pPr>
        <w:widowControl w:val="0"/>
        <w:spacing w:before="0" w:after="0" w:line="360" w:lineRule="auto"/>
        <w:rPr>
          <w:sz w:val="21"/>
          <w:szCs w:val="21"/>
        </w:rPr>
      </w:pPr>
      <w:r>
        <w:rPr>
          <w:rFonts w:ascii="SimSun" w:eastAsia="SimSun" w:hAnsi="SimSun" w:cs="SimSun"/>
          <w:sz w:val="21"/>
          <w:szCs w:val="21"/>
        </w:rPr>
        <w:t>第三步：整合信息，组织答案。注意设问限定以及教材知识与材料、时政信息等相结合。</w:t>
      </w:r>
    </w:p>
    <w:p>
      <w:pPr>
        <w:widowControl w:val="0"/>
        <w:spacing w:before="0" w:after="0" w:line="360" w:lineRule="auto"/>
        <w:rPr>
          <w:sz w:val="21"/>
          <w:szCs w:val="21"/>
        </w:rPr>
      </w:pPr>
      <w:r>
        <w:rPr>
          <w:sz w:val="21"/>
          <w:szCs w:val="21"/>
        </w:rPr>
        <w:t xml:space="preserve">17. </w:t>
      </w:r>
      <w:r>
        <w:rPr>
          <w:rFonts w:ascii="SimSun" w:eastAsia="SimSun" w:hAnsi="SimSun" w:cs="SimSun"/>
          <w:sz w:val="21"/>
          <w:szCs w:val="21"/>
        </w:rPr>
        <w:t>阅读材料，完成下列要求。</w:t>
      </w:r>
    </w:p>
    <w:p>
      <w:pPr>
        <w:widowControl w:val="0"/>
        <w:spacing w:before="0" w:after="0" w:line="360" w:lineRule="auto"/>
        <w:ind w:firstLine="420"/>
        <w:jc w:val="center"/>
        <w:rPr>
          <w:sz w:val="21"/>
          <w:szCs w:val="21"/>
        </w:rPr>
      </w:pPr>
      <w:r>
        <w:rPr>
          <w:rFonts w:ascii="KaiTi" w:eastAsia="KaiTi" w:hAnsi="KaiTi" w:cs="KaiTi"/>
          <w:sz w:val="21"/>
          <w:szCs w:val="21"/>
        </w:rPr>
        <w:t>【法治护航黄河流域生态保护的A市答卷】</w:t>
      </w:r>
    </w:p>
    <w:p>
      <w:pPr>
        <w:widowControl w:val="0"/>
        <w:spacing w:before="0" w:after="0" w:line="360" w:lineRule="auto"/>
        <w:ind w:firstLine="420"/>
        <w:rPr>
          <w:sz w:val="21"/>
          <w:szCs w:val="21"/>
        </w:rPr>
      </w:pPr>
      <w:r>
        <w:rPr>
          <w:rFonts w:ascii="KaiTi" w:eastAsia="KaiTi" w:hAnsi="KaiTi" w:cs="KaiTi"/>
          <w:sz w:val="21"/>
          <w:szCs w:val="21"/>
        </w:rPr>
        <w:t>A市作为黄河流域的重要节点城市，肩负着守护黄河安澜、筑牢生态屏障的使命。</w:t>
      </w:r>
    </w:p>
    <w:p>
      <w:pPr>
        <w:widowControl w:val="0"/>
        <w:spacing w:before="0" w:after="0" w:line="360" w:lineRule="auto"/>
        <w:ind w:firstLine="420"/>
        <w:rPr>
          <w:sz w:val="21"/>
          <w:szCs w:val="21"/>
        </w:rPr>
      </w:pPr>
      <w:r>
        <w:rPr>
          <w:rFonts w:ascii="KaiTi" w:eastAsia="KaiTi" w:hAnsi="KaiTi" w:cs="KaiTi"/>
          <w:sz w:val="21"/>
          <w:szCs w:val="21"/>
        </w:rPr>
        <w:t>自2019年黄河流域生态保护和高质量发展被确定为重大国家战略以来，A市坚持生态优先、绿色引领，因地施策探索出一条以法治化方式破解治理难题的特色之路，为生态保护和高质量发展交上了一份优异答卷。</w:t>
      </w:r>
    </w:p>
    <w:p>
      <w:pPr>
        <w:widowControl w:val="0"/>
        <w:spacing w:before="0" w:after="0" w:line="360" w:lineRule="auto"/>
        <w:ind w:firstLine="420"/>
        <w:rPr>
          <w:sz w:val="21"/>
          <w:szCs w:val="21"/>
        </w:rPr>
      </w:pPr>
      <w:r>
        <w:rPr>
          <w:rFonts w:ascii="KaiTi" w:eastAsia="KaiTi" w:hAnsi="KaiTi" w:cs="KaiTi"/>
          <w:sz w:val="21"/>
          <w:szCs w:val="21"/>
        </w:rPr>
        <w:t>镜头一</w:t>
      </w:r>
      <w:r>
        <w:rPr>
          <w:rFonts w:ascii="SimSun" w:eastAsia="SimSun" w:hAnsi="SimSun" w:cs="SimSun"/>
          <w:sz w:val="21"/>
          <w:szCs w:val="21"/>
        </w:rPr>
        <w:t>：</w:t>
      </w:r>
      <w:r>
        <w:rPr>
          <w:rFonts w:ascii="KaiTi" w:eastAsia="KaiTi" w:hAnsi="KaiTi" w:cs="KaiTi"/>
          <w:sz w:val="21"/>
          <w:szCs w:val="21"/>
        </w:rPr>
        <w:t>难题</w:t>
      </w:r>
    </w:p>
    <w:p>
      <w:pPr>
        <w:widowControl w:val="0"/>
        <w:spacing w:before="0" w:after="0" w:line="360" w:lineRule="auto"/>
        <w:ind w:firstLine="420"/>
        <w:rPr>
          <w:sz w:val="21"/>
          <w:szCs w:val="21"/>
        </w:rPr>
      </w:pPr>
      <w:r>
        <w:rPr>
          <w:rFonts w:ascii="KaiTi" w:eastAsia="KaiTi" w:hAnsi="KaiTi" w:cs="KaiTi"/>
          <w:sz w:val="21"/>
          <w:szCs w:val="21"/>
        </w:rPr>
        <w:t>曾经的</w:t>
      </w:r>
      <w:r>
        <w:rPr>
          <w:sz w:val="21"/>
          <w:szCs w:val="21"/>
        </w:rPr>
        <w:t>A</w:t>
      </w:r>
      <w:r>
        <w:rPr>
          <w:rFonts w:ascii="KaiTi" w:eastAsia="KaiTi" w:hAnsi="KaiTi" w:cs="KaiTi"/>
          <w:sz w:val="21"/>
          <w:szCs w:val="21"/>
        </w:rPr>
        <w:t>市，在黄河流域环境治理方面面临一系列的难题</w:t>
      </w:r>
      <w:r>
        <w:rPr>
          <w:rFonts w:ascii="SimSun" w:eastAsia="SimSun" w:hAnsi="SimSun" w:cs="SimSun"/>
          <w:sz w:val="21"/>
          <w:szCs w:val="21"/>
        </w:rPr>
        <w:t>：</w:t>
      </w:r>
    </w:p>
    <w:p>
      <w:pPr>
        <w:widowControl w:val="0"/>
        <w:spacing w:before="0" w:after="0" w:line="360" w:lineRule="auto"/>
        <w:ind w:firstLine="420"/>
        <w:rPr>
          <w:sz w:val="21"/>
          <w:szCs w:val="21"/>
        </w:rPr>
      </w:pPr>
      <w:r>
        <w:rPr>
          <w:rFonts w:ascii="KaiTi" w:eastAsia="KaiTi" w:hAnsi="KaiTi" w:cs="KaiTi"/>
          <w:sz w:val="21"/>
          <w:szCs w:val="21"/>
        </w:rPr>
        <w:t>●固体废物倾倒、非法采砂等问题未得到有效解决</w:t>
      </w:r>
      <w:r>
        <w:rPr>
          <w:rFonts w:ascii="SimSun" w:eastAsia="SimSun" w:hAnsi="SimSun" w:cs="SimSun"/>
          <w:sz w:val="21"/>
          <w:szCs w:val="21"/>
        </w:rPr>
        <w:t>；</w:t>
      </w:r>
    </w:p>
    <w:p>
      <w:pPr>
        <w:widowControl w:val="0"/>
        <w:spacing w:before="0" w:after="0" w:line="360" w:lineRule="auto"/>
        <w:ind w:firstLine="420"/>
        <w:rPr>
          <w:sz w:val="21"/>
          <w:szCs w:val="21"/>
        </w:rPr>
      </w:pPr>
      <w:r>
        <w:rPr>
          <w:rFonts w:ascii="KaiTi" w:eastAsia="KaiTi" w:hAnsi="KaiTi" w:cs="KaiTi"/>
          <w:sz w:val="21"/>
          <w:szCs w:val="21"/>
        </w:rPr>
        <w:t>●出现跨区域复合型生态治理问题，但各地区、各部门在治理环境问题过程中各自为政，推诿扯皮</w:t>
      </w:r>
      <w:r>
        <w:rPr>
          <w:rFonts w:ascii="SimSun" w:eastAsia="SimSun" w:hAnsi="SimSun" w:cs="SimSun"/>
          <w:sz w:val="21"/>
          <w:szCs w:val="21"/>
        </w:rPr>
        <w:t>；</w:t>
      </w:r>
    </w:p>
    <w:p>
      <w:pPr>
        <w:widowControl w:val="0"/>
        <w:spacing w:before="0" w:after="0" w:line="360" w:lineRule="auto"/>
        <w:ind w:firstLine="420"/>
        <w:rPr>
          <w:sz w:val="21"/>
          <w:szCs w:val="21"/>
        </w:rPr>
      </w:pPr>
      <w:r>
        <w:rPr>
          <w:rFonts w:ascii="KaiTi" w:eastAsia="KaiTi" w:hAnsi="KaiTi" w:cs="KaiTi"/>
          <w:sz w:val="21"/>
          <w:szCs w:val="21"/>
        </w:rPr>
        <w:t>●数据壁垒现象严重，借助数字技术监控、评估、预警生态环境风险的应用不足。</w:t>
      </w:r>
    </w:p>
    <w:p>
      <w:pPr>
        <w:widowControl w:val="0"/>
        <w:spacing w:before="0" w:after="0" w:line="360" w:lineRule="auto"/>
        <w:ind w:firstLine="420"/>
        <w:rPr>
          <w:sz w:val="21"/>
          <w:szCs w:val="21"/>
        </w:rPr>
      </w:pPr>
      <w:r>
        <w:rPr>
          <w:rFonts w:ascii="KaiTi" w:eastAsia="KaiTi" w:hAnsi="KaiTi" w:cs="KaiTi"/>
          <w:sz w:val="21"/>
          <w:szCs w:val="21"/>
        </w:rPr>
        <w:t>镜头二</w:t>
      </w:r>
      <w:r>
        <w:rPr>
          <w:rFonts w:ascii="SimSun" w:eastAsia="SimSun" w:hAnsi="SimSun" w:cs="SimSun"/>
          <w:sz w:val="21"/>
          <w:szCs w:val="21"/>
        </w:rPr>
        <w:t>：</w:t>
      </w:r>
      <w:r>
        <w:rPr>
          <w:rFonts w:ascii="KaiTi" w:eastAsia="KaiTi" w:hAnsi="KaiTi" w:cs="KaiTi"/>
          <w:sz w:val="21"/>
          <w:szCs w:val="21"/>
        </w:rPr>
        <w:t>治理</w:t>
      </w:r>
    </w:p>
    <w:p>
      <w:pPr>
        <w:widowControl w:val="0"/>
        <w:spacing w:before="0" w:after="0" w:line="360" w:lineRule="auto"/>
        <w:ind w:firstLine="420"/>
        <w:rPr>
          <w:sz w:val="21"/>
          <w:szCs w:val="21"/>
        </w:rPr>
      </w:pPr>
      <w:r>
        <w:rPr>
          <w:sz w:val="21"/>
          <w:szCs w:val="21"/>
        </w:rPr>
        <w:t>A</w:t>
      </w:r>
      <w:r>
        <w:rPr>
          <w:rFonts w:ascii="KaiTi" w:eastAsia="KaiTi" w:hAnsi="KaiTi" w:cs="KaiTi"/>
          <w:sz w:val="21"/>
          <w:szCs w:val="21"/>
        </w:rPr>
        <w:t>市政府积极探索以法治化方式破解治理难题，坚持对症开方，出台了一系列有针对性的举措</w:t>
      </w:r>
      <w:r>
        <w:rPr>
          <w:rFonts w:ascii="SimSun" w:eastAsia="SimSun" w:hAnsi="SimSun" w:cs="SimSun"/>
          <w:sz w:val="21"/>
          <w:szCs w:val="21"/>
        </w:rPr>
        <w:t>：</w:t>
      </w:r>
      <w:r>
        <w:rPr>
          <w:sz w:val="21"/>
          <w:szCs w:val="21"/>
        </w:rPr>
        <w:t>_________________________</w:t>
      </w:r>
      <w:r>
        <w:rPr>
          <w:strike w:val="0"/>
          <w:sz w:val="21"/>
          <w:szCs w:val="21"/>
          <w:u w:val="none"/>
        </w:rPr>
        <w:drawing>
          <wp:inline>
            <wp:extent cx="28575" cy="28575"/>
            <wp:docPr id="100189" name=""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ind w:firstLine="420"/>
        <w:rPr>
          <w:sz w:val="21"/>
          <w:szCs w:val="21"/>
        </w:rPr>
      </w:pPr>
      <w:r>
        <w:rPr>
          <w:rFonts w:ascii="KaiTi" w:eastAsia="KaiTi" w:hAnsi="KaiTi" w:cs="KaiTi"/>
          <w:sz w:val="21"/>
          <w:szCs w:val="21"/>
        </w:rPr>
        <w:t>镜头三</w:t>
      </w:r>
      <w:r>
        <w:rPr>
          <w:rFonts w:ascii="SimSun" w:eastAsia="SimSun" w:hAnsi="SimSun" w:cs="SimSun"/>
          <w:sz w:val="21"/>
          <w:szCs w:val="21"/>
        </w:rPr>
        <w:t>：</w:t>
      </w:r>
      <w:r>
        <w:rPr>
          <w:rFonts w:ascii="KaiTi" w:eastAsia="KaiTi" w:hAnsi="KaiTi" w:cs="KaiTi"/>
          <w:sz w:val="21"/>
          <w:szCs w:val="21"/>
        </w:rPr>
        <w:t>成绩</w:t>
      </w:r>
    </w:p>
    <w:p>
      <w:pPr>
        <w:widowControl w:val="0"/>
        <w:spacing w:before="0" w:after="0" w:line="360" w:lineRule="auto"/>
        <w:ind w:firstLine="420"/>
        <w:rPr>
          <w:sz w:val="21"/>
          <w:szCs w:val="21"/>
        </w:rPr>
      </w:pPr>
      <w:r>
        <w:rPr>
          <w:rFonts w:ascii="KaiTi" w:eastAsia="KaiTi" w:hAnsi="KaiTi" w:cs="KaiTi"/>
          <w:sz w:val="21"/>
          <w:szCs w:val="21"/>
        </w:rPr>
        <w:t>随着一系列切实举措落地，</w:t>
      </w:r>
      <w:r>
        <w:rPr>
          <w:sz w:val="21"/>
          <w:szCs w:val="21"/>
        </w:rPr>
        <w:t>A</w:t>
      </w:r>
      <w:r>
        <w:rPr>
          <w:rFonts w:ascii="KaiTi" w:eastAsia="KaiTi" w:hAnsi="KaiTi" w:cs="KaiTi"/>
          <w:sz w:val="21"/>
          <w:szCs w:val="21"/>
        </w:rPr>
        <w:t>市生态环境不断向好发展，生态系统功能不断增强。</w:t>
      </w:r>
    </w:p>
    <w:p>
      <w:pPr>
        <w:widowControl w:val="0"/>
        <w:spacing w:before="0" w:after="0" w:line="360" w:lineRule="auto"/>
        <w:ind w:firstLine="420"/>
        <w:rPr>
          <w:sz w:val="21"/>
          <w:szCs w:val="21"/>
        </w:rPr>
      </w:pPr>
      <w:r>
        <w:rPr>
          <w:rFonts w:ascii="KaiTi" w:eastAsia="KaiTi" w:hAnsi="KaiTi" w:cs="KaiTi"/>
          <w:sz w:val="21"/>
          <w:szCs w:val="21"/>
        </w:rPr>
        <w:t>●水质更好，两岸更绿，流域生态质量总体改善。</w:t>
      </w:r>
    </w:p>
    <w:p>
      <w:pPr>
        <w:widowControl w:val="0"/>
        <w:spacing w:before="0" w:after="0" w:line="360" w:lineRule="auto"/>
        <w:ind w:firstLine="420"/>
        <w:rPr>
          <w:sz w:val="21"/>
          <w:szCs w:val="21"/>
        </w:rPr>
      </w:pPr>
      <w:r>
        <w:rPr>
          <w:rFonts w:ascii="KaiTi" w:eastAsia="KaiTi" w:hAnsi="KaiTi" w:cs="KaiTi"/>
          <w:sz w:val="21"/>
          <w:szCs w:val="21"/>
        </w:rPr>
        <w:t>●在一个又一个</w:t>
      </w:r>
      <w:r>
        <w:rPr>
          <w:rFonts w:ascii="SimSun" w:eastAsia="SimSun" w:hAnsi="SimSun" w:cs="SimSun"/>
          <w:sz w:val="21"/>
          <w:szCs w:val="21"/>
        </w:rPr>
        <w:t>“</w:t>
      </w:r>
      <w:r>
        <w:rPr>
          <w:sz w:val="21"/>
          <w:szCs w:val="21"/>
        </w:rPr>
        <w:t>A</w:t>
      </w:r>
      <w:r>
        <w:rPr>
          <w:rFonts w:ascii="KaiTi" w:eastAsia="KaiTi" w:hAnsi="KaiTi" w:cs="KaiTi"/>
          <w:sz w:val="21"/>
          <w:szCs w:val="21"/>
        </w:rPr>
        <w:t>市</w:t>
      </w:r>
      <w:r>
        <w:rPr>
          <w:rFonts w:ascii="SimSun" w:eastAsia="SimSun" w:hAnsi="SimSun" w:cs="SimSun"/>
          <w:sz w:val="21"/>
          <w:szCs w:val="21"/>
        </w:rPr>
        <w:t>”</w:t>
      </w:r>
      <w:r>
        <w:rPr>
          <w:rFonts w:ascii="KaiTi" w:eastAsia="KaiTi" w:hAnsi="KaiTi" w:cs="KaiTi"/>
          <w:sz w:val="21"/>
          <w:szCs w:val="21"/>
        </w:rPr>
        <w:t>的共同探索和努力下，一曲生态优先、绿色发展的</w:t>
      </w:r>
      <w:r>
        <w:rPr>
          <w:rFonts w:ascii="SimSun" w:eastAsia="SimSun" w:hAnsi="SimSun" w:cs="SimSun"/>
          <w:sz w:val="21"/>
          <w:szCs w:val="21"/>
        </w:rPr>
        <w:t>“</w:t>
      </w:r>
      <w:r>
        <w:rPr>
          <w:rFonts w:ascii="KaiTi" w:eastAsia="KaiTi" w:hAnsi="KaiTi" w:cs="KaiTi"/>
          <w:sz w:val="21"/>
          <w:szCs w:val="21"/>
        </w:rPr>
        <w:t>黄河大合唱</w:t>
      </w:r>
      <w:r>
        <w:rPr>
          <w:rFonts w:ascii="SimSun" w:eastAsia="SimSun" w:hAnsi="SimSun" w:cs="SimSun"/>
          <w:sz w:val="21"/>
          <w:szCs w:val="21"/>
        </w:rPr>
        <w:t>”</w:t>
      </w:r>
      <w:r>
        <w:rPr>
          <w:rFonts w:ascii="KaiTi" w:eastAsia="KaiTi" w:hAnsi="KaiTi" w:cs="KaiTi"/>
          <w:sz w:val="21"/>
          <w:szCs w:val="21"/>
        </w:rPr>
        <w:t>正在神州大地奏响，黄河流域生态保护和高质量发展站到了更高起点</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结合材料，运用《政治与法治》知识，将上述材料中镜头二部分补充完整。</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Cambria Math" w:eastAsia="Cambria Math" w:hAnsi="Cambria Math" w:cs="Cambria Math"/>
          <w:sz w:val="21"/>
          <w:szCs w:val="21"/>
        </w:rPr>
        <w:t>①</w:t>
      </w:r>
      <w:r>
        <w:rPr>
          <w:sz w:val="21"/>
          <w:szCs w:val="21"/>
        </w:rPr>
        <w:t>A</w:t>
      </w:r>
      <w:r>
        <w:rPr>
          <w:rFonts w:ascii="SimSun" w:eastAsia="SimSun" w:hAnsi="SimSun" w:cs="SimSun"/>
          <w:sz w:val="21"/>
          <w:szCs w:val="21"/>
        </w:rPr>
        <w:t>市坚持党的领导，坚决贯彻以习近平总书记为核心的党中央关于黄河流域治理的部署，为守护黄河流域生态环境提供了根本政治保证。</w:t>
      </w:r>
    </w:p>
    <w:p>
      <w:pPr>
        <w:widowControl w:val="0"/>
        <w:spacing w:before="0" w:after="0" w:line="360" w:lineRule="auto"/>
        <w:rPr>
          <w:sz w:val="21"/>
          <w:szCs w:val="21"/>
        </w:rPr>
      </w:pPr>
      <w:r>
        <w:rPr>
          <w:rFonts w:ascii="Cambria Math" w:eastAsia="Cambria Math" w:hAnsi="Cambria Math" w:cs="Cambria Math"/>
          <w:sz w:val="21"/>
          <w:szCs w:val="21"/>
        </w:rPr>
        <w:t>②</w:t>
      </w:r>
      <w:r>
        <w:rPr>
          <w:sz w:val="21"/>
          <w:szCs w:val="21"/>
        </w:rPr>
        <w:t>A</w:t>
      </w:r>
      <w:r>
        <w:rPr>
          <w:rFonts w:ascii="SimSun" w:eastAsia="SimSun" w:hAnsi="SimSun" w:cs="SimSun"/>
          <w:sz w:val="21"/>
          <w:szCs w:val="21"/>
        </w:rPr>
        <w:t>市联合其他省市部门开展协同立法工作，制定专门针对黄河流域生态保护的综合性法律；不断推进建设智能科学的政府，正确处理各部门之间，以及上下级政府之间的职能，严格按照法律界定各部门的权力与责任，公开公正，严明执法，坚持以人民为中心，廉洁诚信，建设一个人民满意的法治政府；同时严厉打击乱倒废弃物、非法采砂等行为；建立跨区域联合执法机制，提升执法能力建设，强化执法监督与问责。</w:t>
      </w:r>
    </w:p>
    <w:p>
      <w:pPr>
        <w:widowControl w:val="0"/>
        <w:spacing w:before="0" w:after="0" w:line="360" w:lineRule="auto"/>
        <w:rPr>
          <w:sz w:val="21"/>
          <w:szCs w:val="21"/>
        </w:rPr>
      </w:pPr>
      <w:r>
        <w:rPr>
          <w:rFonts w:ascii="Cambria Math" w:eastAsia="Cambria Math" w:hAnsi="Cambria Math" w:cs="Cambria Math"/>
          <w:sz w:val="21"/>
          <w:szCs w:val="21"/>
        </w:rPr>
        <w:t>③</w:t>
      </w:r>
      <w:r>
        <w:rPr>
          <w:sz w:val="21"/>
          <w:szCs w:val="21"/>
        </w:rPr>
        <w:t>A</w:t>
      </w:r>
      <w:r>
        <w:rPr>
          <w:rFonts w:ascii="SimSun" w:eastAsia="SimSun" w:hAnsi="SimSun" w:cs="SimSun"/>
          <w:sz w:val="21"/>
          <w:szCs w:val="21"/>
        </w:rPr>
        <w:t>市政府运用互联网、大数据、人工智能等技术手段，推进建设智能高效的政府，使沿黄河流的数据共享，不断提高依法行政和政务服务的效能。</w:t>
      </w:r>
    </w:p>
    <w:p>
      <w:pPr>
        <w:widowControl w:val="0"/>
        <w:spacing w:before="0" w:after="0" w:line="360" w:lineRule="auto"/>
        <w:rPr>
          <w:sz w:val="21"/>
          <w:szCs w:val="21"/>
        </w:rPr>
      </w:pPr>
      <w:r>
        <w:rPr>
          <w:rFonts w:ascii="SimSun" w:eastAsia="SimSun" w:hAnsi="SimSun" w:cs="SimSun"/>
          <w:sz w:val="21"/>
          <w:szCs w:val="21"/>
        </w:rPr>
        <w:t>（原卷无答案，本答案仅供参考）</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【分析】背景素材：A市法治护航黄河流域生态保护</w:t>
      </w:r>
    </w:p>
    <w:p>
      <w:pPr>
        <w:widowControl w:val="0"/>
        <w:spacing w:before="0" w:after="0" w:line="360" w:lineRule="auto"/>
        <w:rPr>
          <w:sz w:val="21"/>
          <w:szCs w:val="21"/>
        </w:rPr>
      </w:pPr>
      <w:r>
        <w:rPr>
          <w:rFonts w:ascii="SimSun" w:eastAsia="SimSun" w:hAnsi="SimSun" w:cs="SimSun"/>
          <w:sz w:val="21"/>
          <w:szCs w:val="21"/>
        </w:rPr>
        <w:t>考点考查：全面依法治国的知识</w:t>
      </w:r>
    </w:p>
    <w:p>
      <w:pPr>
        <w:widowControl w:val="0"/>
        <w:spacing w:before="0" w:after="0" w:line="360" w:lineRule="auto"/>
        <w:rPr>
          <w:sz w:val="21"/>
          <w:szCs w:val="21"/>
        </w:rPr>
      </w:pPr>
      <w:r>
        <w:rPr>
          <w:rFonts w:ascii="SimSun" w:eastAsia="SimSun" w:hAnsi="SimSun" w:cs="SimSun"/>
          <w:sz w:val="21"/>
          <w:szCs w:val="21"/>
        </w:rPr>
        <w:t>能力考查：获取和解读信息、调动和运用知识、描述和阐述事物</w:t>
      </w:r>
    </w:p>
    <w:p>
      <w:pPr>
        <w:widowControl w:val="0"/>
        <w:spacing w:before="0" w:after="0" w:line="360" w:lineRule="auto"/>
        <w:rPr>
          <w:sz w:val="21"/>
          <w:szCs w:val="21"/>
        </w:rPr>
      </w:pPr>
      <w:r>
        <w:rPr>
          <w:rFonts w:ascii="SimSun" w:eastAsia="SimSun" w:hAnsi="SimSun" w:cs="SimSun"/>
          <w:sz w:val="21"/>
          <w:szCs w:val="21"/>
        </w:rPr>
        <w:t>核心素养：政治认同、科学精神</w:t>
      </w:r>
    </w:p>
    <w:p>
      <w:pPr>
        <w:widowControl w:val="0"/>
        <w:spacing w:before="0" w:after="0" w:line="360" w:lineRule="auto"/>
        <w:rPr>
          <w:sz w:val="21"/>
          <w:szCs w:val="21"/>
        </w:rPr>
      </w:pPr>
      <w:r>
        <w:rPr>
          <w:rFonts w:ascii="SimSun" w:eastAsia="SimSun" w:hAnsi="SimSun" w:cs="SimSun"/>
          <w:sz w:val="21"/>
          <w:szCs w:val="21"/>
        </w:rPr>
        <w:t>【详解】第一步：审设问，明确作答范围、问题限定和作答角度</w:t>
      </w:r>
      <w:r>
        <w:rPr>
          <w:strike w:val="0"/>
          <w:sz w:val="21"/>
          <w:szCs w:val="21"/>
          <w:u w:val="none"/>
        </w:rPr>
        <w:drawing>
          <wp:inline>
            <wp:extent cx="133350" cy="76200"/>
            <wp:docPr id="1002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
                    <pic:cNvPicPr>
                      <a:picLocks noChangeAspect="1"/>
                    </pic:cNvPicPr>
                  </pic:nvPicPr>
                  <pic:blipFill>
                    <a:blip xmlns:r="http://schemas.openxmlformats.org/officeDocument/2006/relationships" r:embed="rId22"/>
                    <a:stretch>
                      <a:fillRect/>
                    </a:stretch>
                  </pic:blipFill>
                  <pic:spPr>
                    <a:xfrm>
                      <a:off x="0" y="0"/>
                      <a:ext cx="133350" cy="762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本题的设问要求结合材料，运用《政治与法治》知识，将上图中镜头二部分补充完整。需要调用全面依法治国的有关知识，从措施角度分析作答。</w:t>
      </w:r>
    </w:p>
    <w:p>
      <w:pPr>
        <w:widowControl w:val="0"/>
        <w:spacing w:before="0" w:after="0" w:line="360" w:lineRule="auto"/>
        <w:rPr>
          <w:sz w:val="21"/>
          <w:szCs w:val="21"/>
        </w:rPr>
      </w:pPr>
      <w:r>
        <w:rPr>
          <w:rFonts w:ascii="SimSun" w:eastAsia="SimSun" w:hAnsi="SimSun" w:cs="SimSun"/>
          <w:sz w:val="21"/>
          <w:szCs w:val="21"/>
        </w:rPr>
        <w:t>第二步：审材料。提取关键词，链接教材知识。</w:t>
      </w:r>
    </w:p>
    <w:p>
      <w:pPr>
        <w:widowControl w:val="0"/>
        <w:spacing w:before="0" w:after="0" w:line="360" w:lineRule="auto"/>
        <w:rPr>
          <w:sz w:val="21"/>
          <w:szCs w:val="21"/>
        </w:rPr>
      </w:pPr>
      <w:r>
        <w:rPr>
          <w:rFonts w:ascii="SimSun" w:eastAsia="SimSun" w:hAnsi="SimSun" w:cs="SimSun"/>
          <w:sz w:val="21"/>
          <w:szCs w:val="21"/>
        </w:rPr>
        <w:t>关键信息①：固体废物倾倒、非法采砂等问题未得到有效解决→可联系教材知识：坚持党领导立法；执法严明；</w:t>
      </w:r>
    </w:p>
    <w:p>
      <w:pPr>
        <w:widowControl w:val="0"/>
        <w:spacing w:before="0" w:after="0" w:line="360" w:lineRule="auto"/>
        <w:rPr>
          <w:sz w:val="21"/>
          <w:szCs w:val="21"/>
        </w:rPr>
      </w:pPr>
      <w:r>
        <w:rPr>
          <w:rFonts w:ascii="SimSun" w:eastAsia="SimSun" w:hAnsi="SimSun" w:cs="SimSun"/>
          <w:sz w:val="21"/>
          <w:szCs w:val="21"/>
        </w:rPr>
        <w:t>关键信息②：出现跨区域复合型生态治理问题但各地区、各部门在治理环境问题过程中各自为政，推诿扯皮→可联系教材知识：智能科学、权责法定、人民满意的法治政府；</w:t>
      </w:r>
      <w:r>
        <w:rPr>
          <w:strike w:val="0"/>
          <w:sz w:val="21"/>
          <w:szCs w:val="21"/>
          <w:u w:val="none"/>
        </w:rPr>
        <w:drawing>
          <wp:inline>
            <wp:extent cx="28575" cy="28575"/>
            <wp:docPr id="100205" name=""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关键信息③：数据壁垒现象严重，借助数字技术监控、评估、预警生态环境风险的应用不足→可联系教材知识：智能高效的法治政府。</w:t>
      </w:r>
    </w:p>
    <w:p>
      <w:pPr>
        <w:widowControl w:val="0"/>
        <w:spacing w:before="0" w:after="0" w:line="360" w:lineRule="auto"/>
        <w:rPr>
          <w:sz w:val="21"/>
          <w:szCs w:val="21"/>
        </w:rPr>
      </w:pPr>
      <w:r>
        <w:rPr>
          <w:rFonts w:ascii="SimSun" w:eastAsia="SimSun" w:hAnsi="SimSun" w:cs="SimSun"/>
          <w:sz w:val="21"/>
          <w:szCs w:val="21"/>
        </w:rPr>
        <w:t>第三步：整合信息，组织答案。注意设问限定以及教材知识与材料、时政信息等相结合。</w:t>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阅读材料，完成下列要求。</w:t>
      </w:r>
    </w:p>
    <w:p>
      <w:pPr>
        <w:widowControl w:val="0"/>
        <w:spacing w:before="0" w:after="0" w:line="360" w:lineRule="auto"/>
        <w:rPr>
          <w:sz w:val="21"/>
          <w:szCs w:val="21"/>
        </w:rPr>
      </w:pPr>
      <w:r>
        <w:rPr>
          <w:strike w:val="0"/>
          <w:sz w:val="21"/>
          <w:szCs w:val="21"/>
          <w:u w:val="none"/>
        </w:rPr>
        <w:drawing>
          <wp:inline>
            <wp:extent cx="3867150" cy="2171700"/>
            <wp:docPr id="1002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9" name=""/>
                    <pic:cNvPicPr>
                      <a:picLocks noChangeAspect="1"/>
                    </pic:cNvPicPr>
                  </pic:nvPicPr>
                  <pic:blipFill>
                    <a:blip xmlns:r="http://schemas.openxmlformats.org/officeDocument/2006/relationships" r:embed="rId24"/>
                    <a:stretch>
                      <a:fillRect/>
                    </a:stretch>
                  </pic:blipFill>
                  <pic:spPr>
                    <a:xfrm>
                      <a:off x="0" y="0"/>
                      <a:ext cx="3867150" cy="2171700"/>
                    </a:xfrm>
                    <a:prstGeom prst="rect">
                      <a:avLst/>
                    </a:prstGeom>
                  </pic:spPr>
                </pic:pic>
              </a:graphicData>
            </a:graphic>
          </wp:inline>
        </w:drawing>
      </w:r>
    </w:p>
    <w:p>
      <w:pPr>
        <w:widowControl w:val="0"/>
        <w:spacing w:before="0" w:after="0" w:line="360" w:lineRule="auto"/>
        <w:ind w:firstLine="420"/>
        <w:rPr>
          <w:sz w:val="21"/>
          <w:szCs w:val="21"/>
        </w:rPr>
      </w:pPr>
      <w:r>
        <w:rPr>
          <w:rFonts w:ascii="KaiTi" w:eastAsia="KaiTi" w:hAnsi="KaiTi" w:cs="KaiTi"/>
          <w:sz w:val="21"/>
          <w:szCs w:val="21"/>
        </w:rPr>
        <w:t>宋锦是宋代发展起来的一种质地精美、技艺独特的织锦，可用于制作服装、箱包、丝巾等。2009年，宋锦织造技艺被列入联合国教科文组织人类非物质文化遗产代表作名录。</w:t>
      </w:r>
    </w:p>
    <w:p>
      <w:pPr>
        <w:widowControl w:val="0"/>
        <w:spacing w:before="0" w:after="0" w:line="360" w:lineRule="auto"/>
        <w:ind w:firstLine="420"/>
        <w:rPr>
          <w:sz w:val="21"/>
          <w:szCs w:val="21"/>
        </w:rPr>
      </w:pPr>
      <w:r>
        <w:rPr>
          <w:rFonts w:ascii="KaiTi" w:eastAsia="KaiTi" w:hAnsi="KaiTi" w:cs="KaiTi"/>
          <w:sz w:val="21"/>
          <w:szCs w:val="21"/>
        </w:rPr>
        <w:t>A公司通过研发，创新设计了一款“锦瑟和鸣”图案的宋锦，用其制作的“锦瑟和鸣”手提包在市场上享有极高美誉度。李某开办有一家网店，通过网络直播进行售货，其直播间售卖的手提包图案与“锦瑟和鸣”图案高度相似，只是在颜色深浅上稍有区别。李某声称这是“锦瑟和鸣”手提包的同款系列。一直喜欢非遗产品的赵某对“锦瑟和鸣”手提包情有独钟，于是在李某直播间购买了此款手提包。后赵某发现，李某售卖的该款手提包与A公司无关，也不是真正的宋锦产品，遂向有关部门投诉，李某也受到了相应的行政处罚。</w:t>
      </w:r>
    </w:p>
    <w:p>
      <w:pPr>
        <w:widowControl w:val="0"/>
        <w:spacing w:before="0" w:after="0" w:line="360" w:lineRule="auto"/>
        <w:rPr>
          <w:sz w:val="21"/>
          <w:szCs w:val="21"/>
        </w:rPr>
      </w:pPr>
      <w:r>
        <w:rPr>
          <w:rFonts w:ascii="SimSun" w:eastAsia="SimSun" w:hAnsi="SimSun" w:cs="SimSun"/>
          <w:sz w:val="21"/>
          <w:szCs w:val="21"/>
        </w:rPr>
        <w:t>结合材料，运用《法律与生活》知识，分析说明李某的违法行为，并指出案涉主体应树立哪些法治意识。</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①商标是经营者用来将自己的商品或者服务与其他经营者的商品或者服务相区别的标志。商标注册人享有注册商标专用权，未经权利人许可，他人在同一种商品上使用与注册商标相同的商标的，构成侵权。A公司对其设计的 “锦瑟和鸣” 图案的宋锦享有知识产权，李某未经合法授权，在其直播间售卖的手提包图案与A公司“锦瑟和鸣”图案高度相似，侵犯了A公司的商标权，应该承担相应侵权责任。</w:t>
      </w:r>
    </w:p>
    <w:p>
      <w:pPr>
        <w:widowControl w:val="0"/>
        <w:spacing w:before="0" w:after="0" w:line="360" w:lineRule="auto"/>
        <w:rPr>
          <w:sz w:val="21"/>
          <w:szCs w:val="21"/>
        </w:rPr>
      </w:pPr>
      <w:r>
        <w:rPr>
          <w:rFonts w:ascii="SimSun" w:eastAsia="SimSun" w:hAnsi="SimSun" w:cs="SimSun"/>
          <w:sz w:val="21"/>
          <w:szCs w:val="21"/>
        </w:rPr>
        <w:t>②根据反不正当竞争法，经营者不得实施混淆行为，引人误认为是他人商品或者与他人存在特定联系，同时经营者不得对其商品的性能、功能、质量、销售状况、用户评价、曾获荣誉等作虚假或者引人误解的商业宣传，欺骗、误导消费者。李某声称其售卖的手提包是“锦瑟和鸣”手提包的同款系列，后赵某向有关部门投诉，李某售卖的该款手提包与A公司无关，也不是真正的宋锦产品，这种混淆行为和虚假宣传行为，对消费者构成欺诈，属于不正当竞争，侵害了消费者的知情权。</w:t>
      </w:r>
      <w:r>
        <w:rPr>
          <w:strike w:val="0"/>
          <w:sz w:val="21"/>
          <w:szCs w:val="21"/>
          <w:u w:val="none"/>
        </w:rPr>
        <w:drawing>
          <wp:inline>
            <wp:extent cx="28575" cy="28575"/>
            <wp:docPr id="100221" name=""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③经营者应加强遵守市场公平竞争和依法经营的规则，诚信经营，保护消费者的合法权益。同时经营者要加强知识产权保护意识，采取法律手段维护自身合法权益，如通过诉讼等方式要求侵权方停止侵权、赔偿损失等。</w:t>
      </w:r>
    </w:p>
    <w:p>
      <w:pPr>
        <w:widowControl w:val="0"/>
        <w:spacing w:before="0" w:after="0" w:line="360" w:lineRule="auto"/>
        <w:rPr>
          <w:sz w:val="21"/>
          <w:szCs w:val="21"/>
        </w:rPr>
      </w:pPr>
      <w:r>
        <w:rPr>
          <w:rFonts w:ascii="SimSun" w:eastAsia="SimSun" w:hAnsi="SimSun" w:cs="SimSun"/>
          <w:sz w:val="21"/>
          <w:szCs w:val="21"/>
        </w:rPr>
        <w:t>④消费者应增强自身的维权意识，可以积极向有关部门投诉或通过法律途径维护自身合法权益，消费者可以与经营者协商和解，可以请求消费者协会或者依法成立的其他调解组织者协商和解调解，可以除有关行政部门投诉。消费者还可以通过仲裁或者诉讼的方式解决与经营者之间的争议。赵某向有关部门投诉，李某也受到了相应的行政处罚，通过法律途径维护自身合法权益。</w:t>
      </w:r>
    </w:p>
    <w:p>
      <w:pPr>
        <w:widowControl w:val="0"/>
        <w:spacing w:before="0" w:after="0" w:line="360" w:lineRule="auto"/>
        <w:rPr>
          <w:sz w:val="21"/>
          <w:szCs w:val="21"/>
        </w:rPr>
      </w:pPr>
      <w:r>
        <w:rPr>
          <w:rFonts w:ascii="SimSun" w:eastAsia="SimSun" w:hAnsi="SimSun" w:cs="SimSun"/>
          <w:sz w:val="21"/>
          <w:szCs w:val="21"/>
        </w:rPr>
        <w:t>（原卷无答案，仅供参考）</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【分析】背景素材：李某与A公司的商标权纠纷</w:t>
      </w:r>
      <w:r>
        <w:rPr>
          <w:rFonts w:ascii="SimSun" w:eastAsia="SimSun" w:hAnsi="SimSun" w:cs="SimSun"/>
          <w:sz w:val="21"/>
          <w:szCs w:val="21"/>
        </w:rPr>
        <w:t> </w:t>
      </w:r>
    </w:p>
    <w:p>
      <w:pPr>
        <w:widowControl w:val="0"/>
        <w:spacing w:before="0" w:after="0" w:line="360" w:lineRule="auto"/>
        <w:rPr>
          <w:sz w:val="21"/>
          <w:szCs w:val="21"/>
        </w:rPr>
      </w:pPr>
      <w:r>
        <w:rPr>
          <w:rFonts w:ascii="SimSun" w:eastAsia="SimSun" w:hAnsi="SimSun" w:cs="SimSun"/>
          <w:sz w:val="21"/>
          <w:szCs w:val="21"/>
        </w:rPr>
        <w:t>考点考查：依法有效保护财产权、侵权责任与权力界限和自主创业与诚信经营</w:t>
      </w:r>
    </w:p>
    <w:p>
      <w:pPr>
        <w:widowControl w:val="0"/>
        <w:spacing w:before="0" w:after="0" w:line="360" w:lineRule="auto"/>
        <w:rPr>
          <w:sz w:val="21"/>
          <w:szCs w:val="21"/>
        </w:rPr>
      </w:pPr>
      <w:r>
        <w:rPr>
          <w:rFonts w:ascii="SimSun" w:eastAsia="SimSun" w:hAnsi="SimSun" w:cs="SimSun"/>
          <w:sz w:val="21"/>
          <w:szCs w:val="21"/>
        </w:rPr>
        <w:t>能力考查：描述和阐释事物、论证和探究问题</w:t>
      </w:r>
    </w:p>
    <w:p>
      <w:pPr>
        <w:widowControl w:val="0"/>
        <w:spacing w:before="0" w:after="0" w:line="360" w:lineRule="auto"/>
        <w:rPr>
          <w:sz w:val="21"/>
          <w:szCs w:val="21"/>
        </w:rPr>
      </w:pPr>
      <w:r>
        <w:rPr>
          <w:rFonts w:ascii="SimSun" w:eastAsia="SimSun" w:hAnsi="SimSun" w:cs="SimSun"/>
          <w:sz w:val="21"/>
          <w:szCs w:val="21"/>
        </w:rPr>
        <w:t>核心素养：科学精神、法治意识</w:t>
      </w:r>
    </w:p>
    <w:p>
      <w:pPr>
        <w:widowControl w:val="0"/>
        <w:spacing w:before="0" w:after="0" w:line="360" w:lineRule="auto"/>
        <w:rPr>
          <w:sz w:val="21"/>
          <w:szCs w:val="21"/>
        </w:rPr>
      </w:pPr>
      <w:r>
        <w:rPr>
          <w:rFonts w:ascii="SimSun" w:eastAsia="SimSun" w:hAnsi="SimSun" w:cs="SimSun"/>
          <w:sz w:val="21"/>
          <w:szCs w:val="21"/>
        </w:rPr>
        <w:t>【详解】第一步：审设问。明确题型、作答范围、问题限定和作答角度。本题是说明类主观题。分析说明李某的违法行为，并指出案涉主体应树立哪些法治意识。解答时，获取材料信息，多角度结合知识要点作答。</w:t>
      </w:r>
    </w:p>
    <w:p>
      <w:pPr>
        <w:widowControl w:val="0"/>
        <w:spacing w:before="0" w:after="0" w:line="360" w:lineRule="auto"/>
        <w:rPr>
          <w:sz w:val="21"/>
          <w:szCs w:val="21"/>
        </w:rPr>
      </w:pPr>
      <w:r>
        <w:rPr>
          <w:rFonts w:ascii="SimSun" w:eastAsia="SimSun" w:hAnsi="SimSun" w:cs="SimSun"/>
          <w:sz w:val="21"/>
          <w:szCs w:val="21"/>
        </w:rPr>
        <w:t>第二步：审材料，提取关键词，链接教材知识。</w:t>
      </w:r>
    </w:p>
    <w:p>
      <w:pPr>
        <w:widowControl w:val="0"/>
        <w:spacing w:before="0" w:after="0" w:line="360" w:lineRule="auto"/>
        <w:rPr>
          <w:sz w:val="21"/>
          <w:szCs w:val="21"/>
        </w:rPr>
      </w:pPr>
      <w:r>
        <w:rPr>
          <w:rFonts w:ascii="SimSun" w:eastAsia="SimSun" w:hAnsi="SimSun" w:cs="SimSun"/>
          <w:sz w:val="21"/>
          <w:szCs w:val="21"/>
        </w:rPr>
        <w:t>关键词①：李某在直播间售卖的手提包图案与A公司“锦瑟和鸣”图案高度相似→可联系商标是经营者用来将自己的商品或者服务与其他经营者的商品或者服务相区别的标志。商标注册人享有注册商标专用权，未经权利人许可，他人在同一种商品上使用与注册商标相同的商标的，构成侵权。本案中李某未经合法授权，在其直播间售卖的手提包图案与A公司设计的“锦瑟和鸣”图案高度相似，侵犯了A公司的商标权，应该承担相应侵权责任。</w:t>
      </w:r>
    </w:p>
    <w:p>
      <w:pPr>
        <w:widowControl w:val="0"/>
        <w:spacing w:before="0" w:after="0" w:line="360" w:lineRule="auto"/>
        <w:rPr>
          <w:sz w:val="21"/>
          <w:szCs w:val="21"/>
        </w:rPr>
      </w:pPr>
      <w:r>
        <w:rPr>
          <w:rFonts w:ascii="SimSun" w:eastAsia="SimSun" w:hAnsi="SimSun" w:cs="SimSun"/>
          <w:sz w:val="21"/>
          <w:szCs w:val="21"/>
        </w:rPr>
        <w:t>关键词②：李某声称其售卖的手提包是“锦瑟和鸣”手提包的同款系列，但实际上该手提包与A公司无关，也不是真正的宋锦产品→可联系经营者不得实施混淆行为，引人误认为是他人商品或者与他人存在特定联系，同时经营者不得对其商品的性能、功能、质量、销售状况、用户评价、曾获荣誉等作虚假或者引人误解的商业宣传，欺骗、误导消费者。本案中李某这种混淆行为和虚假宣传行为，构成不正当竞争。</w:t>
      </w:r>
    </w:p>
    <w:p>
      <w:pPr>
        <w:widowControl w:val="0"/>
        <w:spacing w:before="0" w:after="0" w:line="360" w:lineRule="auto"/>
        <w:rPr>
          <w:sz w:val="21"/>
          <w:szCs w:val="21"/>
        </w:rPr>
      </w:pPr>
      <w:r>
        <w:rPr>
          <w:rFonts w:ascii="SimSun" w:eastAsia="SimSun" w:hAnsi="SimSun" w:cs="SimSun"/>
          <w:sz w:val="21"/>
          <w:szCs w:val="21"/>
        </w:rPr>
        <w:t>关键词③：一直喜欢非遗产品的赵某对“锦瑟和鸣”手提包情有独钟，于是在李某直播间购买了此款手提包。后赵某发现，李某售卖的该款手提包与A公司无关，也不是真正的宋锦产品，遂向有关部门投诉→可联系经营者应当保护消费者的知情权。本案中李某侵犯了赵某的知情权。</w:t>
      </w:r>
    </w:p>
    <w:p>
      <w:pPr>
        <w:widowControl w:val="0"/>
        <w:spacing w:before="0" w:after="0" w:line="360" w:lineRule="auto"/>
        <w:rPr>
          <w:sz w:val="21"/>
          <w:szCs w:val="21"/>
        </w:rPr>
      </w:pPr>
      <w:r>
        <w:rPr>
          <w:rFonts w:ascii="SimSun" w:eastAsia="SimSun" w:hAnsi="SimSun" w:cs="SimSun"/>
          <w:sz w:val="21"/>
          <w:szCs w:val="21"/>
        </w:rPr>
        <w:t>关键词④：案涉主体主要包括A公司、李某和赵某→可联系公司经营者应当树立依法诚信经营，正当竞</w:t>
      </w:r>
      <w:r>
        <w:rPr>
          <w:strike w:val="0"/>
          <w:sz w:val="21"/>
          <w:szCs w:val="21"/>
          <w:u w:val="none"/>
        </w:rPr>
        <w:drawing>
          <wp:inline>
            <wp:extent cx="28575" cy="28575"/>
            <wp:docPr id="100235" name=""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争。商标所有人、消费者的权益受到侵害后，应当树立依法维权意识。</w:t>
      </w:r>
    </w:p>
    <w:p>
      <w:pPr>
        <w:widowControl w:val="0"/>
        <w:spacing w:before="0" w:after="0" w:line="360" w:lineRule="auto"/>
        <w:rPr>
          <w:sz w:val="21"/>
          <w:szCs w:val="21"/>
        </w:rPr>
      </w:pPr>
      <w:r>
        <w:rPr>
          <w:rFonts w:ascii="SimSun" w:eastAsia="SimSun" w:hAnsi="SimSun" w:cs="SimSun"/>
          <w:sz w:val="21"/>
          <w:szCs w:val="21"/>
        </w:rPr>
        <w:t>第三步：整合信息、组织答案。注意设问要求与材料信息、课本知识的结合。</w:t>
      </w:r>
    </w:p>
    <w:p>
      <w:pPr>
        <w:widowControl w:val="0"/>
        <w:spacing w:before="0" w:after="0" w:line="360" w:lineRule="auto"/>
        <w:rPr>
          <w:sz w:val="21"/>
          <w:szCs w:val="21"/>
        </w:rPr>
      </w:pPr>
      <w:r>
        <w:rPr>
          <w:sz w:val="21"/>
          <w:szCs w:val="21"/>
        </w:rPr>
        <w:t xml:space="preserve">19. </w:t>
      </w:r>
      <w:r>
        <w:rPr>
          <w:rFonts w:ascii="SimSun" w:eastAsia="SimSun" w:hAnsi="SimSun" w:cs="SimSun"/>
          <w:sz w:val="21"/>
          <w:szCs w:val="21"/>
        </w:rPr>
        <w:t>阅读材料，完成下列要求。</w:t>
      </w:r>
    </w:p>
    <w:p>
      <w:pPr>
        <w:widowControl w:val="0"/>
        <w:spacing w:before="0" w:after="0" w:line="360" w:lineRule="auto"/>
        <w:ind w:firstLine="420"/>
        <w:rPr>
          <w:sz w:val="21"/>
          <w:szCs w:val="21"/>
        </w:rPr>
      </w:pPr>
      <w:r>
        <w:rPr>
          <w:rFonts w:ascii="KaiTi" w:eastAsia="KaiTi" w:hAnsi="KaiTi" w:cs="KaiTi"/>
          <w:sz w:val="21"/>
          <w:szCs w:val="21"/>
        </w:rPr>
        <w:t>新中国成立以来的75年，是中华民族从积贫积弱走向伟大复兴的75年，是为人类文明的进步与升华贡献中国智慧与力量的75年。</w:t>
      </w:r>
    </w:p>
    <w:p>
      <w:pPr>
        <w:widowControl w:val="0"/>
        <w:spacing w:before="0" w:after="0" w:line="360" w:lineRule="auto"/>
        <w:ind w:firstLine="420"/>
        <w:jc w:val="center"/>
        <w:rPr>
          <w:sz w:val="21"/>
          <w:szCs w:val="21"/>
        </w:rPr>
      </w:pPr>
      <w:r>
        <w:rPr>
          <w:rFonts w:ascii="KaiTi" w:eastAsia="KaiTi" w:hAnsi="KaiTi" w:cs="KaiTi"/>
          <w:sz w:val="21"/>
          <w:szCs w:val="21"/>
        </w:rPr>
        <w:t>【75年：人民为国家筑牢根基】</w:t>
      </w:r>
    </w:p>
    <w:p>
      <w:pPr>
        <w:widowControl w:val="0"/>
        <w:spacing w:before="0" w:after="0" w:line="360" w:lineRule="auto"/>
        <w:ind w:firstLine="420"/>
        <w:rPr>
          <w:sz w:val="21"/>
          <w:szCs w:val="21"/>
        </w:rPr>
      </w:pPr>
      <w:r>
        <w:rPr>
          <w:rFonts w:ascii="KaiTi" w:eastAsia="KaiTi" w:hAnsi="KaiTi" w:cs="KaiTi"/>
          <w:sz w:val="21"/>
          <w:szCs w:val="21"/>
        </w:rPr>
        <w:t>75年来，中国式现代化之路的每个环节、每个方面、每个阶段都紧紧围绕着</w:t>
      </w:r>
      <w:r>
        <w:rPr>
          <w:rFonts w:ascii="SimSun" w:eastAsia="SimSun" w:hAnsi="SimSun" w:cs="SimSun"/>
          <w:sz w:val="21"/>
          <w:szCs w:val="21"/>
        </w:rPr>
        <w:t>“</w:t>
      </w:r>
      <w:r>
        <w:rPr>
          <w:rFonts w:ascii="KaiTi" w:eastAsia="KaiTi" w:hAnsi="KaiTi" w:cs="KaiTi"/>
          <w:sz w:val="21"/>
          <w:szCs w:val="21"/>
        </w:rPr>
        <w:t>人民</w:t>
      </w:r>
      <w:r>
        <w:rPr>
          <w:rFonts w:ascii="SimSun" w:eastAsia="SimSun" w:hAnsi="SimSun" w:cs="SimSun"/>
          <w:sz w:val="21"/>
          <w:szCs w:val="21"/>
        </w:rPr>
        <w:t>”</w:t>
      </w:r>
      <w:r>
        <w:rPr>
          <w:rFonts w:ascii="KaiTi" w:eastAsia="KaiTi" w:hAnsi="KaiTi" w:cs="KaiTi"/>
          <w:sz w:val="21"/>
          <w:szCs w:val="21"/>
        </w:rPr>
        <w:t>这一中心点。人民不仅见证、分享国家发展的巨大成就，更是强国建设、民族复兴伟业的直接参与者、推动者。</w:t>
      </w:r>
    </w:p>
    <w:p>
      <w:pPr>
        <w:widowControl w:val="0"/>
        <w:spacing w:before="0" w:after="0" w:line="360" w:lineRule="auto"/>
        <w:ind w:firstLine="420"/>
        <w:rPr>
          <w:sz w:val="21"/>
          <w:szCs w:val="21"/>
        </w:rPr>
      </w:pPr>
      <w:r>
        <w:rPr>
          <w:rFonts w:ascii="KaiTi" w:eastAsia="KaiTi" w:hAnsi="KaiTi" w:cs="KaiTi"/>
          <w:sz w:val="21"/>
          <w:szCs w:val="21"/>
        </w:rPr>
        <w:t>河南林州，10万建设大军苦干10年，凿出</w:t>
      </w:r>
      <w:r>
        <w:rPr>
          <w:rFonts w:ascii="SimSun" w:eastAsia="SimSun" w:hAnsi="SimSun" w:cs="SimSun"/>
          <w:sz w:val="21"/>
          <w:szCs w:val="21"/>
        </w:rPr>
        <w:t>“</w:t>
      </w:r>
      <w:r>
        <w:rPr>
          <w:rFonts w:ascii="KaiTi" w:eastAsia="KaiTi" w:hAnsi="KaiTi" w:cs="KaiTi"/>
          <w:sz w:val="21"/>
          <w:szCs w:val="21"/>
        </w:rPr>
        <w:t>人工天河</w:t>
      </w:r>
      <w:r>
        <w:rPr>
          <w:rFonts w:ascii="SimSun" w:eastAsia="SimSun" w:hAnsi="SimSun" w:cs="SimSun"/>
          <w:sz w:val="21"/>
          <w:szCs w:val="21"/>
        </w:rPr>
        <w:t>”</w:t>
      </w:r>
      <w:r>
        <w:rPr>
          <w:rFonts w:ascii="KaiTi" w:eastAsia="KaiTi" w:hAnsi="KaiTi" w:cs="KaiTi"/>
          <w:sz w:val="21"/>
          <w:szCs w:val="21"/>
        </w:rPr>
        <w:t>红旗渠。安徽凤阳，小岗村村民的18枚</w:t>
      </w:r>
      <w:r>
        <w:rPr>
          <w:rFonts w:ascii="SimSun" w:eastAsia="SimSun" w:hAnsi="SimSun" w:cs="SimSun"/>
          <w:sz w:val="21"/>
          <w:szCs w:val="21"/>
        </w:rPr>
        <w:t>“</w:t>
      </w:r>
      <w:r>
        <w:rPr>
          <w:rFonts w:ascii="KaiTi" w:eastAsia="KaiTi" w:hAnsi="KaiTi" w:cs="KaiTi"/>
          <w:sz w:val="21"/>
          <w:szCs w:val="21"/>
        </w:rPr>
        <w:t>红手印</w:t>
      </w:r>
      <w:r>
        <w:rPr>
          <w:rFonts w:ascii="SimSun" w:eastAsia="SimSun" w:hAnsi="SimSun" w:cs="SimSun"/>
          <w:sz w:val="21"/>
          <w:szCs w:val="21"/>
        </w:rPr>
        <w:t>”</w:t>
      </w:r>
      <w:r>
        <w:rPr>
          <w:rFonts w:ascii="KaiTi" w:eastAsia="KaiTi" w:hAnsi="KaiTi" w:cs="KaiTi"/>
          <w:sz w:val="21"/>
          <w:szCs w:val="21"/>
        </w:rPr>
        <w:t>，揭开农村改革的序幕。新时代以来，数百万村干部同村民一道奋斗，打赢脱贫攻坚战；科研人员矢志探索，推动中国空间站遨游太空、</w:t>
      </w:r>
      <w:r>
        <w:rPr>
          <w:rFonts w:ascii="SimSun" w:eastAsia="SimSun" w:hAnsi="SimSun" w:cs="SimSun"/>
          <w:sz w:val="21"/>
          <w:szCs w:val="21"/>
        </w:rPr>
        <w:t>“</w:t>
      </w:r>
      <w:r>
        <w:rPr>
          <w:rFonts w:ascii="KaiTi" w:eastAsia="KaiTi" w:hAnsi="KaiTi" w:cs="KaiTi"/>
          <w:sz w:val="21"/>
          <w:szCs w:val="21"/>
        </w:rPr>
        <w:t>奋斗者</w:t>
      </w:r>
      <w:r>
        <w:rPr>
          <w:rFonts w:ascii="SimSun" w:eastAsia="SimSun" w:hAnsi="SimSun" w:cs="SimSun"/>
          <w:sz w:val="21"/>
          <w:szCs w:val="21"/>
        </w:rPr>
        <w:t>”</w:t>
      </w:r>
      <w:r>
        <w:rPr>
          <w:rFonts w:ascii="KaiTi" w:eastAsia="KaiTi" w:hAnsi="KaiTi" w:cs="KaiTi"/>
          <w:sz w:val="21"/>
          <w:szCs w:val="21"/>
        </w:rPr>
        <w:t>号深潜万米海底；一个个建设者奋斗实干，支撑港珠澳大桥、深中通道建成开通</w:t>
      </w:r>
      <w:r>
        <w:rPr>
          <w:rFonts w:ascii="SimSun" w:eastAsia="SimSun" w:hAnsi="SimSun" w:cs="SimSun"/>
          <w:sz w:val="21"/>
          <w:szCs w:val="21"/>
        </w:rPr>
        <w:t>……</w:t>
      </w:r>
    </w:p>
    <w:p>
      <w:pPr>
        <w:widowControl w:val="0"/>
        <w:spacing w:before="0" w:after="0" w:line="360" w:lineRule="auto"/>
        <w:ind w:firstLine="420"/>
        <w:rPr>
          <w:sz w:val="21"/>
          <w:szCs w:val="21"/>
        </w:rPr>
      </w:pPr>
      <w:r>
        <w:rPr>
          <w:rFonts w:ascii="KaiTi" w:eastAsia="KaiTi" w:hAnsi="KaiTi" w:cs="KaiTi"/>
          <w:sz w:val="21"/>
          <w:szCs w:val="21"/>
        </w:rPr>
        <w:t>新征程上，全面建成社会主义现代化强国，党和国家仍需自觉问计于民、问需于民，紧紧依靠人民和衷共济、共襄大业。</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）历史雄辩地证明，人民是推进现代化最坚实的根基、最深厚的力量。结合材料，运用社会历史的主体相关知识，谈谈你的理解。</w:t>
      </w:r>
    </w:p>
    <w:p>
      <w:pPr>
        <w:widowControl w:val="0"/>
        <w:spacing w:before="0" w:after="0" w:line="360" w:lineRule="auto"/>
        <w:ind w:firstLine="420"/>
        <w:jc w:val="center"/>
        <w:rPr>
          <w:sz w:val="21"/>
          <w:szCs w:val="21"/>
        </w:rPr>
      </w:pPr>
      <w:r>
        <w:rPr>
          <w:rFonts w:ascii="KaiTi" w:eastAsia="KaiTi" w:hAnsi="KaiTi" w:cs="KaiTi"/>
          <w:sz w:val="21"/>
          <w:szCs w:val="21"/>
        </w:rPr>
        <w:t>【75年：中国为人类进步担当】</w:t>
      </w:r>
    </w:p>
    <w:p>
      <w:pPr>
        <w:widowControl w:val="0"/>
        <w:spacing w:before="0" w:after="0" w:line="360" w:lineRule="auto"/>
        <w:ind w:firstLine="420"/>
        <w:rPr>
          <w:sz w:val="21"/>
          <w:szCs w:val="21"/>
        </w:rPr>
      </w:pPr>
      <w:r>
        <w:rPr>
          <w:rFonts w:ascii="KaiTi" w:eastAsia="KaiTi" w:hAnsi="KaiTi" w:cs="KaiTi"/>
          <w:sz w:val="21"/>
          <w:szCs w:val="21"/>
        </w:rPr>
        <w:t>根植于中华优秀传统文化，中国外交理念一脉相承，与时俱进，在历史的接力中不断传承、弘扬、升华，推动人类进步事业一程接着一程向前迈进。</w:t>
      </w:r>
    </w:p>
    <w:tbl>
      <w:tblPr>
        <w:tblW w:w="828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3840"/>
        <w:gridCol w:w="3000"/>
        <w:gridCol w:w="5730"/>
        <w:gridCol w:w="5940"/>
      </w:tblGrid>
      <w:tr>
        <w:tblPrEx>
          <w:tblW w:w="828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W w:w="2070"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形成时期</w:t>
            </w:r>
          </w:p>
        </w:tc>
        <w:tc>
          <w:tcPr>
            <w:tcW w:w="207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主要外交理念</w:t>
            </w:r>
          </w:p>
        </w:tc>
        <w:tc>
          <w:tcPr>
            <w:tcW w:w="207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实践剪影</w:t>
            </w:r>
          </w:p>
        </w:tc>
        <w:tc>
          <w:tcPr>
            <w:tcW w:w="2070"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国际影响</w:t>
            </w:r>
          </w:p>
        </w:tc>
      </w:tr>
      <w:tr>
        <w:tblPrEx>
          <w:tblW w:w="8280" w:type="dxa"/>
          <w:tblInd w:w="128" w:type="dxa"/>
          <w:tblCellMar>
            <w:top w:w="0" w:type="dxa"/>
            <w:left w:w="0" w:type="dxa"/>
            <w:bottom w:w="0" w:type="dxa"/>
            <w:right w:w="0" w:type="dxa"/>
          </w:tblCellMar>
        </w:tblPrEx>
        <w:tc>
          <w:tcPr>
            <w:tcW w:w="207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社会主义革命和建设时期</w:t>
            </w:r>
          </w:p>
        </w:tc>
        <w:tc>
          <w:tcPr>
            <w:tcW w:w="207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和平共处五项原则</w:t>
            </w:r>
          </w:p>
        </w:tc>
        <w:tc>
          <w:tcPr>
            <w:tcW w:w="207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出席</w:t>
            </w:r>
            <w:r>
              <w:rPr>
                <w:b w:val="0"/>
                <w:bCs w:val="0"/>
                <w:i w:val="0"/>
                <w:iCs w:val="0"/>
                <w:smallCaps w:val="0"/>
                <w:color w:val="000000"/>
                <w:sz w:val="21"/>
                <w:szCs w:val="21"/>
              </w:rPr>
              <w:t>1955</w:t>
            </w:r>
            <w:r>
              <w:rPr>
                <w:rFonts w:ascii="SimSun" w:eastAsia="SimSun" w:hAnsi="SimSun" w:cs="SimSun"/>
                <w:b w:val="0"/>
                <w:bCs w:val="0"/>
                <w:i w:val="0"/>
                <w:iCs w:val="0"/>
                <w:smallCaps w:val="0"/>
                <w:color w:val="000000"/>
                <w:sz w:val="21"/>
                <w:szCs w:val="21"/>
              </w:rPr>
              <w:t>年亚非会议，提出“求同存异”，促使各方达成协议</w:t>
            </w:r>
          </w:p>
        </w:tc>
        <w:tc>
          <w:tcPr>
            <w:tcW w:w="207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为国际秩序的改革和完善贡献了历史智慧</w:t>
            </w:r>
          </w:p>
        </w:tc>
      </w:tr>
      <w:tr>
        <w:tblPrEx>
          <w:tblW w:w="8280" w:type="dxa"/>
          <w:tblInd w:w="128" w:type="dxa"/>
          <w:tblCellMar>
            <w:top w:w="0" w:type="dxa"/>
            <w:left w:w="0" w:type="dxa"/>
            <w:bottom w:w="0" w:type="dxa"/>
            <w:right w:w="0" w:type="dxa"/>
          </w:tblCellMar>
        </w:tblPrEx>
        <w:tc>
          <w:tcPr>
            <w:tcW w:w="207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改革开放和社会主义现代化建设新时期</w:t>
            </w:r>
          </w:p>
        </w:tc>
        <w:tc>
          <w:tcPr>
            <w:tcW w:w="207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和平与发展是当今时代的主题</w:t>
            </w:r>
          </w:p>
        </w:tc>
        <w:tc>
          <w:tcPr>
            <w:tcW w:w="207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倡导国际关系民主化和建立公正合理的国际政治经济新秩序</w:t>
            </w:r>
          </w:p>
        </w:tc>
        <w:tc>
          <w:tcPr>
            <w:tcW w:w="207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增强了维护世界和平的力量，为世界经济发展提供了重要机遇</w:t>
            </w:r>
          </w:p>
        </w:tc>
      </w:tr>
      <w:tr>
        <w:tblPrEx>
          <w:tblW w:w="8280" w:type="dxa"/>
          <w:tblInd w:w="128" w:type="dxa"/>
          <w:tblCellMar>
            <w:top w:w="0" w:type="dxa"/>
            <w:left w:w="0" w:type="dxa"/>
            <w:bottom w:w="0" w:type="dxa"/>
            <w:right w:w="0" w:type="dxa"/>
          </w:tblCellMar>
        </w:tblPrEx>
        <w:tc>
          <w:tcPr>
            <w:tcW w:w="2019"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中国特色社会主义新时代</w:t>
            </w:r>
          </w:p>
        </w:tc>
        <w:tc>
          <w:tcPr>
            <w:tcW w:w="207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构建人类命运共同体</w:t>
            </w:r>
          </w:p>
        </w:tc>
        <w:tc>
          <w:tcPr>
            <w:tcW w:w="207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共建“一带一路”；</w:t>
            </w:r>
          </w:p>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支持“全球南方”合作；</w:t>
            </w:r>
          </w:p>
        </w:tc>
        <w:tc>
          <w:tcPr>
            <w:tcW w:w="2070"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为推动全球治理体系变革和人类进步提供了中国方案</w:t>
            </w:r>
          </w:p>
        </w:tc>
      </w:tr>
    </w:tbl>
    <w:p>
      <w:pPr>
        <w:widowControl w:val="0"/>
        <w:spacing w:before="0" w:after="0"/>
        <w:jc w:val="both"/>
        <w:rPr>
          <w:sz w:val="0"/>
          <w:szCs w:val="0"/>
        </w:rPr>
      </w:pPr>
      <w:r>
        <w:rPr>
          <w:strike w:val="0"/>
          <w:sz w:val="0"/>
          <w:szCs w:val="0"/>
          <w:u w:val="none"/>
        </w:rPr>
        <w:drawing>
          <wp:inline>
            <wp:extent cx="28575" cy="28575"/>
            <wp:docPr id="100249" name=""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tbl>
      <w:tblPr>
        <w:tblW w:w="828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819"/>
        <w:gridCol w:w="1475"/>
        <w:gridCol w:w="2277"/>
        <w:gridCol w:w="2679"/>
      </w:tblGrid>
      <w:tr>
        <w:tblPrEx>
          <w:tblW w:w="828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W w:w="2019" w:type="dxa"/>
            <w:tcBorders>
              <w:right w:val="single" w:sz="6" w:space="0" w:color="000000"/>
            </w:tcBorders>
            <w:noWrap w:val="0"/>
            <w:tcMar>
              <w:top w:w="76" w:type="dxa"/>
              <w:left w:w="120" w:type="dxa"/>
              <w:bottom w:w="76" w:type="dxa"/>
              <w:right w:w="120" w:type="dxa"/>
            </w:tcMar>
            <w:vAlign w:val="center"/>
          </w:tcPr>
          <w:p>
            <w:pPr>
              <w:spacing w:before="0" w:after="0"/>
              <w:rPr>
                <w:b w:val="0"/>
                <w:bCs w:val="0"/>
                <w:i w:val="0"/>
                <w:iCs w:val="0"/>
                <w:smallCaps w:val="0"/>
                <w:color w:val="000000"/>
              </w:rPr>
            </w:pPr>
          </w:p>
        </w:tc>
        <w:tc>
          <w:tcPr>
            <w:tcW w:w="1577" w:type="dxa"/>
            <w:tcBorders>
              <w:left w:val="single" w:sz="6" w:space="0" w:color="000000"/>
              <w:right w:val="single" w:sz="6" w:space="0" w:color="000000"/>
            </w:tcBorders>
            <w:noWrap w:val="0"/>
            <w:tcMar>
              <w:top w:w="76" w:type="dxa"/>
              <w:left w:w="120" w:type="dxa"/>
              <w:bottom w:w="76" w:type="dxa"/>
              <w:right w:w="120" w:type="dxa"/>
            </w:tcMar>
            <w:vAlign w:val="center"/>
          </w:tcPr>
          <w:p>
            <w:pPr>
              <w:spacing w:before="0" w:after="0"/>
              <w:rPr>
                <w:b w:val="0"/>
                <w:bCs w:val="0"/>
                <w:i w:val="0"/>
                <w:iCs w:val="0"/>
                <w:smallCaps w:val="0"/>
                <w:color w:val="000000"/>
              </w:rPr>
            </w:pPr>
          </w:p>
        </w:tc>
        <w:tc>
          <w:tcPr>
            <w:tcW w:w="2070" w:type="dxa"/>
            <w:tcBorders>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推动“大金砖合作”</w:t>
            </w:r>
          </w:p>
        </w:tc>
        <w:tc>
          <w:tcPr>
            <w:tcW w:w="3122" w:type="dxa"/>
            <w:tcBorders>
              <w:left w:val="single" w:sz="6" w:space="0" w:color="000000"/>
            </w:tcBorders>
            <w:noWrap w:val="0"/>
            <w:tcMar>
              <w:top w:w="76" w:type="dxa"/>
              <w:left w:w="120" w:type="dxa"/>
              <w:bottom w:w="76" w:type="dxa"/>
              <w:right w:w="120" w:type="dxa"/>
            </w:tcMar>
            <w:vAlign w:val="center"/>
          </w:tcPr>
          <w:p>
            <w:pPr>
              <w:spacing w:before="0" w:after="0"/>
              <w:rPr>
                <w:b w:val="0"/>
                <w:bCs w:val="0"/>
                <w:i w:val="0"/>
                <w:iCs w:val="0"/>
                <w:smallCaps w:val="0"/>
                <w:color w:val="000000"/>
              </w:rPr>
            </w:pPr>
          </w:p>
        </w:tc>
      </w:tr>
    </w:tbl>
    <w:p>
      <w:pPr>
        <w:widowControl w:val="0"/>
        <w:spacing w:before="0" w:after="0" w:line="360" w:lineRule="auto"/>
        <w:rPr>
          <w:sz w:val="21"/>
          <w:szCs w:val="21"/>
        </w:rPr>
      </w:pP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）结合材料，运用《当代国际政治与经济》知识，说明</w:t>
      </w:r>
      <w:r>
        <w:rPr>
          <w:sz w:val="21"/>
          <w:szCs w:val="21"/>
        </w:rPr>
        <w:t>75</w:t>
      </w:r>
      <w:r>
        <w:rPr>
          <w:rFonts w:ascii="SimSun" w:eastAsia="SimSun" w:hAnsi="SimSun" w:cs="SimSun"/>
          <w:sz w:val="21"/>
          <w:szCs w:val="21"/>
        </w:rPr>
        <w:t>年来中国外交理念是如何传承、弘扬与升华的。</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Cambria Math" w:eastAsia="Cambria Math" w:hAnsi="Cambria Math" w:cs="Cambria Math"/>
          <w:sz w:val="21"/>
          <w:szCs w:val="21"/>
        </w:rPr>
        <w:t>①</w:t>
      </w:r>
      <w:r>
        <w:rPr>
          <w:rFonts w:ascii="SimSun" w:eastAsia="SimSun" w:hAnsi="SimSun" w:cs="SimSun"/>
          <w:sz w:val="21"/>
          <w:szCs w:val="21"/>
        </w:rPr>
        <w:t>历史唯物主义认为，人民群众是历史的主体。人民群众是物质财富的创造者，人民群众是精神财富的创造者，人民群众是社会变革的决定力量，要求我们坚持群众观点，群众路线。</w:t>
      </w:r>
      <w:r>
        <w:rPr>
          <w:rFonts w:ascii="Cambria Math" w:eastAsia="Cambria Math" w:hAnsi="Cambria Math" w:cs="Cambria Math"/>
          <w:sz w:val="21"/>
          <w:szCs w:val="21"/>
        </w:rPr>
        <w:t>②</w:t>
      </w:r>
      <w:r>
        <w:rPr>
          <w:rFonts w:ascii="SimSun" w:eastAsia="SimSun" w:hAnsi="SimSun" w:cs="SimSun"/>
          <w:sz w:val="21"/>
          <w:szCs w:val="21"/>
        </w:rPr>
        <w:t>新中国成立</w:t>
      </w:r>
      <w:r>
        <w:rPr>
          <w:sz w:val="21"/>
          <w:szCs w:val="21"/>
        </w:rPr>
        <w:t>75</w:t>
      </w:r>
      <w:r>
        <w:rPr>
          <w:rFonts w:ascii="SimSun" w:eastAsia="SimSun" w:hAnsi="SimSun" w:cs="SimSun"/>
          <w:sz w:val="21"/>
          <w:szCs w:val="21"/>
        </w:rPr>
        <w:t>年来，在推进中国式现代化进程中，人民通过辛勤劳动，从事各行各业的生产活动，创造力巨大的物质财富和精神财富，坚持全面深化改革，创造了实现中华民族伟大复兴的美好前景。</w:t>
      </w:r>
    </w:p>
    <w:p>
      <w:pPr>
        <w:widowControl w:val="0"/>
        <w:spacing w:before="0" w:after="0" w:line="360" w:lineRule="auto"/>
        <w:rPr>
          <w:sz w:val="21"/>
          <w:szCs w:val="21"/>
        </w:rPr>
      </w:pPr>
      <w:r>
        <w:rPr>
          <w:rFonts w:ascii="SimSun" w:eastAsia="SimSun" w:hAnsi="SimSun" w:cs="SimSun"/>
          <w:sz w:val="21"/>
          <w:szCs w:val="21"/>
        </w:rPr>
        <w:t>（原卷无答案，本答案仅供参考）</w:t>
      </w:r>
      <w:r>
        <w:rPr>
          <w:rFonts w:ascii="SimSun" w:eastAsia="SimSun" w:hAnsi="SimSun" w:cs="SimSun"/>
          <w:sz w:val="21"/>
          <w:szCs w:val="21"/>
        </w:rPr>
        <w:t xml:space="preserve">    </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rFonts w:ascii="Cambria Math" w:eastAsia="Cambria Math" w:hAnsi="Cambria Math" w:cs="Cambria Math"/>
          <w:sz w:val="21"/>
          <w:szCs w:val="21"/>
        </w:rPr>
        <w:t>①</w:t>
      </w:r>
      <w:r>
        <w:rPr>
          <w:rFonts w:ascii="SimSun" w:eastAsia="SimSun" w:hAnsi="SimSun" w:cs="SimSun"/>
          <w:sz w:val="21"/>
          <w:szCs w:val="21"/>
        </w:rPr>
        <w:t>新中国成立以来，我国是中国共产党领导的社会主义国家，我国的国家性质和国家利益决定了我国奉行独立自主的和平外交政策。在社会主义革命和建设时期，坚持和平共处五项原则，开启了中国外交理念传承的起点。</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改革开放和社会主义现代化建设新时期，顺应时代潮流，高举和平与发展大旗，弘扬开放合作、互利共赢理念，我国坚持维护世界和平、促进共发展的外交宗旨，倡导国际关系民主化和建立公正合理的国际政治经济新秩序，为世界的发展作出重大贡献。</w:t>
      </w:r>
    </w:p>
    <w:p>
      <w:pPr>
        <w:widowControl w:val="0"/>
        <w:spacing w:before="0" w:after="0" w:line="360" w:lineRule="auto"/>
        <w:rPr>
          <w:sz w:val="21"/>
          <w:szCs w:val="21"/>
        </w:rPr>
      </w:pPr>
      <w:r>
        <w:rPr>
          <w:rFonts w:ascii="Cambria Math" w:eastAsia="Cambria Math" w:hAnsi="Cambria Math" w:cs="Cambria Math"/>
          <w:sz w:val="21"/>
          <w:szCs w:val="21"/>
        </w:rPr>
        <w:t>③</w:t>
      </w:r>
      <w:r>
        <w:rPr>
          <w:rFonts w:ascii="SimSun" w:eastAsia="SimSun" w:hAnsi="SimSun" w:cs="SimSun"/>
          <w:sz w:val="21"/>
          <w:szCs w:val="21"/>
        </w:rPr>
        <w:t>进入新时代，在习近平的外交思想指导下，共建“一带一路”， 支持“全球南方”合作，推动“大金砖合作”，站在人类命运的高度，构建人类命共同体，不断推动全球治理体系变革，为人类的发展提供了中国智慧和中国方案。</w:t>
      </w:r>
    </w:p>
    <w:p>
      <w:pPr>
        <w:widowControl w:val="0"/>
        <w:spacing w:before="0" w:after="0" w:line="360" w:lineRule="auto"/>
        <w:rPr>
          <w:sz w:val="21"/>
          <w:szCs w:val="21"/>
        </w:rPr>
      </w:pPr>
      <w:r>
        <w:rPr>
          <w:rFonts w:ascii="SimSun" w:eastAsia="SimSun" w:hAnsi="SimSun" w:cs="SimSun"/>
          <w:sz w:val="21"/>
          <w:szCs w:val="21"/>
        </w:rPr>
        <w:t>（原卷无答案，本答案仅供参考）</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【分析】背景素材：</w:t>
      </w:r>
      <w:r>
        <w:rPr>
          <w:sz w:val="21"/>
          <w:szCs w:val="21"/>
        </w:rPr>
        <w:t>75</w:t>
      </w:r>
      <w:r>
        <w:rPr>
          <w:rFonts w:ascii="SimSun" w:eastAsia="SimSun" w:hAnsi="SimSun" w:cs="SimSun"/>
          <w:sz w:val="21"/>
          <w:szCs w:val="21"/>
        </w:rPr>
        <w:t>年：人民为国家筑牢根基</w:t>
      </w:r>
    </w:p>
    <w:p>
      <w:pPr>
        <w:widowControl w:val="0"/>
        <w:spacing w:before="0" w:after="0" w:line="360" w:lineRule="auto"/>
        <w:rPr>
          <w:sz w:val="21"/>
          <w:szCs w:val="21"/>
        </w:rPr>
      </w:pPr>
      <w:r>
        <w:rPr>
          <w:rFonts w:ascii="SimSun" w:eastAsia="SimSun" w:hAnsi="SimSun" w:cs="SimSun"/>
          <w:sz w:val="21"/>
          <w:szCs w:val="21"/>
        </w:rPr>
        <w:t>考点考查：社会历史的主体、中国的外交相关知识点</w:t>
      </w:r>
    </w:p>
    <w:p>
      <w:pPr>
        <w:widowControl w:val="0"/>
        <w:spacing w:before="0" w:after="0" w:line="360" w:lineRule="auto"/>
        <w:rPr>
          <w:sz w:val="21"/>
          <w:szCs w:val="21"/>
        </w:rPr>
      </w:pPr>
      <w:r>
        <w:rPr>
          <w:rFonts w:ascii="SimSun" w:eastAsia="SimSun" w:hAnsi="SimSun" w:cs="SimSun"/>
          <w:sz w:val="21"/>
          <w:szCs w:val="21"/>
        </w:rPr>
        <w:t>能力考查：获取和解读信息、调动和运用知识、描述和阐述事物</w:t>
      </w:r>
    </w:p>
    <w:p>
      <w:pPr>
        <w:widowControl w:val="0"/>
        <w:spacing w:before="0" w:after="0" w:line="360" w:lineRule="auto"/>
        <w:rPr>
          <w:sz w:val="21"/>
          <w:szCs w:val="21"/>
        </w:rPr>
      </w:pPr>
      <w:r>
        <w:rPr>
          <w:rFonts w:ascii="SimSun" w:eastAsia="SimSun" w:hAnsi="SimSun" w:cs="SimSun"/>
          <w:sz w:val="21"/>
          <w:szCs w:val="21"/>
        </w:rPr>
        <w:t>核心素养：政治认同、科学精神</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第一步：审设问，明确作答范围、问题限定和作答角度。</w:t>
      </w:r>
    </w:p>
    <w:p>
      <w:pPr>
        <w:widowControl w:val="0"/>
        <w:spacing w:before="0" w:after="0" w:line="360" w:lineRule="auto"/>
        <w:rPr>
          <w:sz w:val="21"/>
          <w:szCs w:val="21"/>
        </w:rPr>
      </w:pPr>
      <w:r>
        <w:rPr>
          <w:rFonts w:ascii="SimSun" w:eastAsia="SimSun" w:hAnsi="SimSun" w:cs="SimSun"/>
          <w:sz w:val="21"/>
          <w:szCs w:val="21"/>
        </w:rPr>
        <w:t>本题的设问要求结合材料，运用社会历史的主体相关知识，谈谈你对“历史雄辩地证明，人民是推进现代化最坚实的根基、最深厚的力量”的理解。需要调用社会历史的主体的有关知识分析作答。</w:t>
      </w:r>
    </w:p>
    <w:p>
      <w:pPr>
        <w:widowControl w:val="0"/>
        <w:spacing w:before="0" w:after="0" w:line="360" w:lineRule="auto"/>
        <w:rPr>
          <w:sz w:val="21"/>
          <w:szCs w:val="21"/>
        </w:rPr>
      </w:pPr>
      <w:r>
        <w:rPr>
          <w:rFonts w:ascii="SimSun" w:eastAsia="SimSun" w:hAnsi="SimSun" w:cs="SimSun"/>
          <w:sz w:val="21"/>
          <w:szCs w:val="21"/>
        </w:rPr>
        <w:t>第二步：审材料。提取关键词，链接教材知识。</w:t>
      </w:r>
      <w:r>
        <w:rPr>
          <w:strike w:val="0"/>
          <w:sz w:val="21"/>
          <w:szCs w:val="21"/>
          <w:u w:val="none"/>
        </w:rPr>
        <w:drawing>
          <wp:inline>
            <wp:extent cx="28575" cy="28575"/>
            <wp:docPr id="100263" name=""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关键信息①：</w:t>
      </w:r>
      <w:r>
        <w:rPr>
          <w:sz w:val="21"/>
          <w:szCs w:val="21"/>
        </w:rPr>
        <w:t>75</w:t>
      </w:r>
      <w:r>
        <w:rPr>
          <w:rFonts w:ascii="SimSun" w:eastAsia="SimSun" w:hAnsi="SimSun" w:cs="SimSun"/>
          <w:sz w:val="21"/>
          <w:szCs w:val="21"/>
        </w:rPr>
        <w:t>年：人民为国家筑牢根基→可从社会历史的主体角度分析人民群众是历史的主体和创造者；</w:t>
      </w:r>
    </w:p>
    <w:p>
      <w:pPr>
        <w:widowControl w:val="0"/>
        <w:spacing w:before="0" w:after="0" w:line="360" w:lineRule="auto"/>
        <w:rPr>
          <w:sz w:val="21"/>
          <w:szCs w:val="21"/>
        </w:rPr>
      </w:pPr>
      <w:r>
        <w:rPr>
          <w:rFonts w:ascii="SimSun" w:eastAsia="SimSun" w:hAnsi="SimSun" w:cs="SimSun"/>
          <w:sz w:val="21"/>
          <w:szCs w:val="21"/>
        </w:rPr>
        <w:t>关键信息②：人民是强国建设、民族复兴伟业的直接参与者、推动者→可从社会历史的主体角度分析人民群众创造了物质财富和精神财富；</w:t>
      </w:r>
    </w:p>
    <w:p>
      <w:pPr>
        <w:widowControl w:val="0"/>
        <w:spacing w:before="0" w:after="0" w:line="360" w:lineRule="auto"/>
        <w:rPr>
          <w:sz w:val="21"/>
          <w:szCs w:val="21"/>
        </w:rPr>
      </w:pPr>
      <w:r>
        <w:rPr>
          <w:rFonts w:ascii="SimSun" w:eastAsia="SimSun" w:hAnsi="SimSun" w:cs="SimSun"/>
          <w:sz w:val="21"/>
          <w:szCs w:val="21"/>
        </w:rPr>
        <w:t>关键信息③：</w:t>
      </w:r>
      <w:r>
        <w:rPr>
          <w:sz w:val="21"/>
          <w:szCs w:val="21"/>
        </w:rPr>
        <w:t>18</w:t>
      </w:r>
      <w:r>
        <w:rPr>
          <w:rFonts w:ascii="SimSun" w:eastAsia="SimSun" w:hAnsi="SimSun" w:cs="SimSun"/>
          <w:sz w:val="21"/>
          <w:szCs w:val="21"/>
        </w:rPr>
        <w:t>枚</w:t>
      </w:r>
      <w:r>
        <w:rPr>
          <w:sz w:val="21"/>
          <w:szCs w:val="21"/>
        </w:rPr>
        <w:t>“</w:t>
      </w:r>
      <w:r>
        <w:rPr>
          <w:rFonts w:ascii="SimSun" w:eastAsia="SimSun" w:hAnsi="SimSun" w:cs="SimSun"/>
          <w:sz w:val="21"/>
          <w:szCs w:val="21"/>
        </w:rPr>
        <w:t>红手印</w:t>
      </w:r>
      <w:r>
        <w:rPr>
          <w:sz w:val="21"/>
          <w:szCs w:val="21"/>
        </w:rPr>
        <w:t>”</w:t>
      </w:r>
      <w:r>
        <w:rPr>
          <w:rFonts w:ascii="SimSun" w:eastAsia="SimSun" w:hAnsi="SimSun" w:cs="SimSun"/>
          <w:sz w:val="21"/>
          <w:szCs w:val="21"/>
        </w:rPr>
        <w:t>，揭开农村改革的序幕→可从社会历史的主体角度分析人民群众是社会变革的决定力量。</w:t>
      </w:r>
    </w:p>
    <w:p>
      <w:pPr>
        <w:widowControl w:val="0"/>
        <w:spacing w:before="0" w:after="0" w:line="360" w:lineRule="auto"/>
        <w:rPr>
          <w:sz w:val="21"/>
          <w:szCs w:val="21"/>
        </w:rPr>
      </w:pPr>
      <w:r>
        <w:rPr>
          <w:rFonts w:ascii="SimSun" w:eastAsia="SimSun" w:hAnsi="SimSun" w:cs="SimSun"/>
          <w:sz w:val="21"/>
          <w:szCs w:val="21"/>
        </w:rPr>
        <w:t>第三步：整合信息，组织答案。注意设问限定以及教材知识与材料、时政信息等相结合。</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第一步：审设问，明确主体、作答范围、问题限定和作答角度。</w:t>
      </w:r>
    </w:p>
    <w:p>
      <w:pPr>
        <w:widowControl w:val="0"/>
        <w:spacing w:before="0" w:after="0" w:line="360" w:lineRule="auto"/>
        <w:rPr>
          <w:sz w:val="21"/>
          <w:szCs w:val="21"/>
        </w:rPr>
      </w:pPr>
      <w:r>
        <w:rPr>
          <w:rFonts w:ascii="SimSun" w:eastAsia="SimSun" w:hAnsi="SimSun" w:cs="SimSun"/>
          <w:sz w:val="21"/>
          <w:szCs w:val="21"/>
        </w:rPr>
        <w:t>本题的设问要求结合材料，运用《当代国际政治与经济》知识，说明</w:t>
      </w:r>
      <w:r>
        <w:rPr>
          <w:sz w:val="21"/>
          <w:szCs w:val="21"/>
        </w:rPr>
        <w:t>75</w:t>
      </w:r>
      <w:r>
        <w:rPr>
          <w:rFonts w:ascii="SimSun" w:eastAsia="SimSun" w:hAnsi="SimSun" w:cs="SimSun"/>
          <w:sz w:val="21"/>
          <w:szCs w:val="21"/>
        </w:rPr>
        <w:t>年来中国外交理念是如《何传承、弘扬与升华的。注意作答主体为中国，需要调用中国的外交的有关知识，从措施角度分析作答。</w:t>
      </w:r>
    </w:p>
    <w:p>
      <w:pPr>
        <w:widowControl w:val="0"/>
        <w:spacing w:before="0" w:after="0" w:line="360" w:lineRule="auto"/>
        <w:rPr>
          <w:sz w:val="21"/>
          <w:szCs w:val="21"/>
        </w:rPr>
      </w:pPr>
      <w:r>
        <w:rPr>
          <w:rFonts w:ascii="SimSun" w:eastAsia="SimSun" w:hAnsi="SimSun" w:cs="SimSun"/>
          <w:sz w:val="21"/>
          <w:szCs w:val="21"/>
        </w:rPr>
        <w:t>第二步：审材料。提取关键词，链接教材知识。</w:t>
      </w:r>
    </w:p>
    <w:p>
      <w:pPr>
        <w:widowControl w:val="0"/>
        <w:spacing w:before="0" w:after="0" w:line="360" w:lineRule="auto"/>
        <w:rPr>
          <w:sz w:val="21"/>
          <w:szCs w:val="21"/>
        </w:rPr>
      </w:pPr>
      <w:r>
        <w:rPr>
          <w:rFonts w:ascii="SimSun" w:eastAsia="SimSun" w:hAnsi="SimSun" w:cs="SimSun"/>
          <w:sz w:val="21"/>
          <w:szCs w:val="21"/>
        </w:rPr>
        <w:t>关键信息①：社会主义革命和建设时期、和平共处五项原则→可从我国的外交政策角度分析我国的外交政策是什么、我国外坚持和平共处五项原则；</w:t>
      </w:r>
    </w:p>
    <w:p>
      <w:pPr>
        <w:widowControl w:val="0"/>
        <w:spacing w:before="0" w:after="0" w:line="360" w:lineRule="auto"/>
        <w:rPr>
          <w:sz w:val="21"/>
          <w:szCs w:val="21"/>
        </w:rPr>
      </w:pPr>
      <w:r>
        <w:rPr>
          <w:rFonts w:ascii="SimSun" w:eastAsia="SimSun" w:hAnsi="SimSun" w:cs="SimSun"/>
          <w:sz w:val="21"/>
          <w:szCs w:val="21"/>
        </w:rPr>
        <w:t>关键信息②：和平与发展是当今时代的主题→可从我国的外交政策角度分析我国维护世界和平，促进共同发展的外交宗旨；</w:t>
      </w:r>
    </w:p>
    <w:p>
      <w:pPr>
        <w:widowControl w:val="0"/>
        <w:spacing w:before="0" w:after="0" w:line="360" w:lineRule="auto"/>
        <w:rPr>
          <w:sz w:val="21"/>
          <w:szCs w:val="21"/>
        </w:rPr>
      </w:pPr>
      <w:r>
        <w:rPr>
          <w:rFonts w:ascii="SimSun" w:eastAsia="SimSun" w:hAnsi="SimSun" w:cs="SimSun"/>
          <w:sz w:val="21"/>
          <w:szCs w:val="21"/>
        </w:rPr>
        <w:t>关键信息③：构建人类命运共同体、中国为人类进步担当→可从习近平的外交思想角度分析习近平的外交思想的地位和作用，构建人类命运共同体的意义以及我国为人类提供的中国智慧和中国方案等相关知识。</w:t>
      </w:r>
    </w:p>
    <w:p>
      <w:pPr>
        <w:widowControl w:val="0"/>
        <w:spacing w:before="0" w:after="0" w:line="360" w:lineRule="auto"/>
        <w:rPr>
          <w:sz w:val="21"/>
          <w:szCs w:val="21"/>
        </w:rPr>
      </w:pPr>
      <w:r>
        <w:rPr>
          <w:rFonts w:ascii="SimSun" w:eastAsia="SimSun" w:hAnsi="SimSun" w:cs="SimSun"/>
          <w:sz w:val="21"/>
          <w:szCs w:val="21"/>
        </w:rPr>
        <w:t>第三步：整合信息，组织答案。注意设问限定以及教材知识与材料、时政信息等相结合。</w:t>
      </w:r>
    </w:p>
    <w:p>
      <w:pPr>
        <w:widowControl w:val="0"/>
        <w:spacing w:before="0" w:after="0" w:line="360" w:lineRule="auto"/>
        <w:rPr>
          <w:sz w:val="21"/>
          <w:szCs w:val="21"/>
        </w:rPr>
      </w:pPr>
    </w:p>
    <w:p>
      <w:pPr>
        <w:widowControl w:val="0"/>
        <w:spacing w:before="0" w:after="0" w:line="360" w:lineRule="auto"/>
        <w:jc w:val="both"/>
        <w:rPr>
          <w:sz w:val="21"/>
          <w:szCs w:val="21"/>
        </w:rPr>
      </w:pPr>
      <w:r>
        <w:rPr>
          <w:strike w:val="0"/>
          <w:sz w:val="21"/>
          <w:szCs w:val="21"/>
          <w:u w:val="none"/>
        </w:rPr>
        <w:drawing>
          <wp:inline>
            <wp:extent cx="28575" cy="28575"/>
            <wp:docPr id="100277" name="" descr="page number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rsidR="00A77B3E"/>
    <w:sectPr>
      <w:type w:val="continuous"/>
      <w:pgSz w:w="11927" w:h="16875"/>
      <w:pgMar w:top="800" w:right="1120" w:bottom="54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9.png"/><Relationship Id="rId2" Type="http://schemas.openxmlformats.org/officeDocument/2006/relationships/webSettings" Target="webSettings.xml"/><Relationship Id="rId22" Type="http://schemas.openxmlformats.org/officeDocument/2006/relationships/image" Target="media/image10.png"/><Relationship Id="rId24" Type="http://schemas.openxmlformats.org/officeDocument/2006/relationships/image" Target="media/image11.png"/><Relationship Id="rId3" Type="http://schemas.openxmlformats.org/officeDocument/2006/relationships/fontTable" Target="fontTable.xml"/><Relationship Id="rId30" Type="http://schemas.openxmlformats.org/officeDocument/2006/relationships/theme" Target="theme/theme1.xml"/><Relationship Id="rId31"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image" Target="media/image7.png"/><Relationship Id="rId8"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