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12103100</wp:posOffset>
            </wp:positionH>
            <wp:positionV relativeFrom="topMargin">
              <wp:posOffset>11836400</wp:posOffset>
            </wp:positionV>
            <wp:extent cx="381000" cy="28575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81000" cy="285750"/>
                    </a:xfrm>
                    <a:prstGeom prst="rect">
                      <a:avLst/>
                    </a:prstGeom>
                  </pic:spPr>
                </pic:pic>
              </a:graphicData>
            </a:graphic>
          </wp:anchor>
        </w:drawing>
      </w:r>
      <w:r>
        <w:rPr>
          <w:rFonts w:ascii="SimSun" w:eastAsia="SimSun" w:hAnsi="SimSun" w:cs="SimSun"/>
          <w:b/>
          <w:bCs/>
          <w:sz w:val="32"/>
          <w:szCs w:val="32"/>
        </w:rPr>
        <w:t>2025届高三期中学业质量监测试卷历史</w:t>
      </w:r>
    </w:p>
    <w:p>
      <w:pPr>
        <w:widowControl w:val="0"/>
        <w:spacing w:before="0" w:after="0" w:line="360" w:lineRule="auto"/>
        <w:jc w:val="both"/>
      </w:pPr>
      <w:r>
        <w:rPr>
          <w:rFonts w:ascii="SimSun" w:eastAsia="SimSun" w:hAnsi="SimSun" w:cs="SimSun"/>
          <w:b/>
          <w:bCs/>
        </w:rPr>
        <w:t>注意事项</w:t>
      </w:r>
    </w:p>
    <w:p>
      <w:pPr>
        <w:widowControl w:val="0"/>
        <w:spacing w:before="0" w:after="0" w:line="360" w:lineRule="auto"/>
        <w:jc w:val="both"/>
      </w:pPr>
      <w:r>
        <w:rPr>
          <w:rFonts w:ascii="SimSun" w:eastAsia="SimSun" w:hAnsi="SimSun" w:cs="SimSun"/>
          <w:b/>
          <w:bCs/>
        </w:rPr>
        <w:t>1.本试卷共6页，满分100分，考试时间为75分钟。考试结束后，请将答题卷交回。</w:t>
      </w:r>
    </w:p>
    <w:p>
      <w:pPr>
        <w:widowControl w:val="0"/>
        <w:spacing w:before="0" w:after="0" w:line="360" w:lineRule="auto"/>
        <w:jc w:val="both"/>
      </w:pPr>
      <w:r>
        <w:rPr>
          <w:rFonts w:ascii="SimSun" w:eastAsia="SimSun" w:hAnsi="SimSun" w:cs="SimSun"/>
          <w:b/>
          <w:bCs/>
        </w:rPr>
        <w:t>2.答题前，请您务必将自己的姓名、准考证号、座位号用0.5毫米黑色字迹签字笔填写在答题卷上。</w:t>
      </w:r>
    </w:p>
    <w:p>
      <w:pPr>
        <w:widowControl w:val="0"/>
        <w:spacing w:before="0" w:after="0" w:line="360" w:lineRule="auto"/>
        <w:jc w:val="both"/>
      </w:pPr>
      <w:r>
        <w:rPr>
          <w:rFonts w:ascii="SimSun" w:eastAsia="SimSun" w:hAnsi="SimSun" w:cs="SimSun"/>
          <w:b/>
          <w:bCs/>
        </w:rPr>
        <w:t>3.请认真核对监考员在答题卡上所粘贴的条形码上的姓名、考试证号与您本人的是否相符。</w:t>
      </w:r>
    </w:p>
    <w:p>
      <w:pPr>
        <w:widowControl w:val="0"/>
        <w:spacing w:before="0" w:after="0" w:line="360" w:lineRule="auto"/>
        <w:jc w:val="both"/>
      </w:pPr>
      <w:r>
        <w:rPr>
          <w:rFonts w:ascii="SimSun" w:eastAsia="SimSun" w:hAnsi="SimSun" w:cs="SimSun"/>
          <w:b/>
          <w:bCs/>
        </w:rPr>
        <w:t>4.作答选择题必须用2B铅笔把答题卡对应题目的答案标号涂黑。如需改动，请用橡皮擦干净后，再选涂其它答案。作答非选择题必须用书写黑色字迹的0.5毫米的签字笔写在答题卷上的指定位置，在其它位置作答一律无效。</w:t>
      </w:r>
    </w:p>
    <w:p>
      <w:pPr>
        <w:widowControl w:val="0"/>
        <w:spacing w:before="0" w:after="0" w:line="360" w:lineRule="auto"/>
        <w:jc w:val="both"/>
      </w:pPr>
      <w:r>
        <w:rPr>
          <w:rFonts w:ascii="SimSun" w:eastAsia="SimSun" w:hAnsi="SimSun" w:cs="SimSun"/>
          <w:b/>
          <w:bCs/>
        </w:rPr>
        <w:t>一、选择题：本大题共15题，每题3分，共计45分。在每小题列出的四个选项中，只有一项最符合题目要求。</w:t>
      </w:r>
    </w:p>
    <w:p>
      <w:pPr>
        <w:widowControl w:val="0"/>
        <w:spacing w:before="0" w:after="0" w:line="360" w:lineRule="auto"/>
        <w:jc w:val="both"/>
        <w:rPr>
          <w:sz w:val="21"/>
          <w:szCs w:val="21"/>
        </w:rPr>
      </w:pPr>
      <w:r>
        <w:rPr>
          <w:sz w:val="21"/>
          <w:szCs w:val="21"/>
        </w:rPr>
        <w:t xml:space="preserve">1. </w:t>
      </w:r>
      <w:r>
        <w:rPr>
          <w:rFonts w:ascii="SimSun" w:eastAsia="SimSun" w:hAnsi="SimSun" w:cs="SimSun"/>
          <w:sz w:val="21"/>
          <w:szCs w:val="21"/>
        </w:rPr>
        <w:t>春秋时期，晋献公“并国十七，服国三十八”,这些小国如耿、霍、魏等，不再作为采邑，而是派异姓大夫管理。由此可见，晋献公（</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建立起君主专制制度</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适应加强中央集权的需要</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削弱贵族的经济实力</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以血缘亲疏分配政治权力</w:t>
      </w:r>
    </w:p>
    <w:p>
      <w:pPr>
        <w:widowControl w:val="0"/>
        <w:spacing w:before="0" w:after="0" w:line="360" w:lineRule="auto"/>
        <w:jc w:val="both"/>
        <w:rPr>
          <w:sz w:val="21"/>
          <w:szCs w:val="21"/>
        </w:rPr>
      </w:pPr>
      <w:r>
        <w:rPr>
          <w:sz w:val="21"/>
          <w:szCs w:val="21"/>
        </w:rPr>
        <w:t xml:space="preserve">2. </w:t>
      </w:r>
      <w:r>
        <w:rPr>
          <w:rFonts w:ascii="SimSun" w:eastAsia="SimSun" w:hAnsi="SimSun" w:cs="SimSun"/>
          <w:sz w:val="21"/>
          <w:szCs w:val="21"/>
        </w:rPr>
        <w:t>后赵石勒称王后，“亲临大小学，考诸学生经义，尤高者赏帛有差”;又“典定九流，始立秀、孝试经之制”;命郡国“立学官，每郡置博士祭酒二人，弟子百五十人，三考修成，显升台府”。这反映出后赵（</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以九品中正制强化君权</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重视考核官员的施政能力</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通过科举考试选拔官员</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利用儒学为国家培养人才</w:t>
      </w:r>
    </w:p>
    <w:p>
      <w:pPr>
        <w:widowControl w:val="0"/>
        <w:spacing w:before="0" w:after="0" w:line="360" w:lineRule="auto"/>
        <w:jc w:val="both"/>
        <w:rPr>
          <w:sz w:val="21"/>
          <w:szCs w:val="21"/>
        </w:rPr>
      </w:pPr>
      <w:r>
        <w:rPr>
          <w:sz w:val="21"/>
          <w:szCs w:val="21"/>
        </w:rPr>
        <w:t xml:space="preserve">3. </w:t>
      </w:r>
      <w:r>
        <w:rPr>
          <w:rFonts w:ascii="SimSun" w:eastAsia="SimSun" w:hAnsi="SimSun" w:cs="SimSun"/>
          <w:sz w:val="21"/>
          <w:szCs w:val="21"/>
        </w:rPr>
        <w:t>西晋时，流行于士大夫群体</w:t>
      </w:r>
      <w:r>
        <w:rPr>
          <w:strike w:val="0"/>
          <w:sz w:val="21"/>
          <w:szCs w:val="21"/>
          <w:u w:val="none"/>
        </w:rPr>
        <w:drawing>
          <wp:inline>
            <wp:extent cx="133350" cy="180975"/>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投壶活动被认为有利于“矫懈而正心”。宋代，盛行于民间的蹴鞠形成了“十紧要”(要信实、要志诚、要尊重等)“十禁戒”(戒争斗、戒赌博、戒词讼等)的相关规范。上述体育活动（</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反映了传统主流思想的变化</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推动社会成员身份趋于平等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凸显了道德伦理的价值取向</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体现程朱理学的世俗化趋势</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下表为宋元时期书院的分布统计，据此可推知（</w:t>
      </w:r>
      <w:r>
        <w:rPr>
          <w:rFonts w:ascii="SimSun" w:eastAsia="SimSun" w:hAnsi="SimSun" w:cs="SimSun"/>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13"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4610100" cy="1571625"/>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4610100" cy="157162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文化教育受自然条件影响</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民族交往交融的不断加强</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南北经济差距的持续扩大</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政局变动影响文化的传播</w:t>
      </w:r>
    </w:p>
    <w:p>
      <w:pPr>
        <w:widowControl w:val="0"/>
        <w:spacing w:before="0" w:after="0" w:line="360" w:lineRule="auto"/>
        <w:jc w:val="both"/>
        <w:rPr>
          <w:sz w:val="21"/>
          <w:szCs w:val="21"/>
        </w:rPr>
      </w:pPr>
      <w:r>
        <w:rPr>
          <w:sz w:val="21"/>
          <w:szCs w:val="21"/>
        </w:rPr>
        <w:t xml:space="preserve">5. </w:t>
      </w:r>
      <w:r>
        <w:rPr>
          <w:rFonts w:ascii="SimSun" w:eastAsia="SimSun" w:hAnsi="SimSun" w:cs="SimSun"/>
          <w:sz w:val="21"/>
          <w:szCs w:val="21"/>
        </w:rPr>
        <w:t>岳飞不仅在南宋受到崇奉，金章宗也称“飞之威名战功暴于南北”,元朝官修《宋史》评价岳飞“文武全器、仁智并施”,清朝顺治、康熙、雍正三帝都曾重修杭州岳庙和岳飞墓。这说明，岳飞的贡献主要体现在（</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缓和了国内各民族间的矛盾</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促进了不同族群的高度融合</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推动了少数民族封建化进程</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发挥了凝聚中华儿女的作用</w:t>
      </w:r>
    </w:p>
    <w:p>
      <w:pPr>
        <w:widowControl w:val="0"/>
        <w:spacing w:before="0" w:after="0" w:line="360" w:lineRule="auto"/>
        <w:jc w:val="both"/>
        <w:rPr>
          <w:sz w:val="21"/>
          <w:szCs w:val="21"/>
        </w:rPr>
      </w:pPr>
      <w:r>
        <w:rPr>
          <w:sz w:val="21"/>
          <w:szCs w:val="21"/>
        </w:rPr>
        <w:t xml:space="preserve">6. </w:t>
      </w:r>
      <w:r>
        <w:rPr>
          <w:rFonts w:ascii="SimSun" w:eastAsia="SimSun" w:hAnsi="SimSun" w:cs="SimSun"/>
          <w:sz w:val="21"/>
          <w:szCs w:val="21"/>
        </w:rPr>
        <w:t>明清时期，浙、闽、粤等多地出现专植甘蔗的村庄，甚至“蔗田几与稻田等矣”。甘蔗摊贩、捏糖人、卖粘米花糖等糖制品售卖景象成为当时市井街头的一道风景。这表明（</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新的经营方式出现</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经济活动日益市场化</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种植与加工一体化</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高产农作物推广种植</w:t>
      </w:r>
    </w:p>
    <w:p>
      <w:pPr>
        <w:widowControl w:val="0"/>
        <w:spacing w:before="0" w:after="0" w:line="360" w:lineRule="auto"/>
        <w:jc w:val="both"/>
        <w:rPr>
          <w:sz w:val="21"/>
          <w:szCs w:val="21"/>
        </w:rPr>
      </w:pPr>
      <w:r>
        <w:rPr>
          <w:sz w:val="21"/>
          <w:szCs w:val="21"/>
        </w:rPr>
        <w:t xml:space="preserve">7. </w:t>
      </w:r>
      <w:r>
        <w:rPr>
          <w:rFonts w:ascii="SimSun" w:eastAsia="SimSun" w:hAnsi="SimSun" w:cs="SimSun"/>
          <w:sz w:val="21"/>
          <w:szCs w:val="21"/>
        </w:rPr>
        <w:t>下图为英国杂志刊登的时事漫画《百折不挠的收藏家》,画中在“请勿动手”的提示标签之下，一位身着日本和服的“收藏家”一边拿着“满洲国”,一边将手伸向了“华北”。该漫画的主旨是（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162175" cy="1743075"/>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9"/>
                    <a:stretch>
                      <a:fillRect/>
                    </a:stretch>
                  </pic:blipFill>
                  <pic:spPr>
                    <a:xfrm>
                      <a:off x="0" y="0"/>
                      <a:ext cx="2162175" cy="1743075"/>
                    </a:xfrm>
                    <a:prstGeom prst="rect">
                      <a:avLst/>
                    </a:prstGeom>
                  </pic:spPr>
                </pic:pic>
              </a:graphicData>
            </a:graphic>
          </wp:inline>
        </w:drawing>
      </w:r>
      <w:r>
        <w:rPr>
          <w:rFonts w:ascii="SimSun" w:eastAsia="SimSun" w:hAnsi="SimSun" w:cs="SimSun"/>
          <w:sz w:val="21"/>
          <w:szCs w:val="21"/>
        </w:rPr>
        <w:t>图1</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英国阻止日本侵华</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日本意图蚕食中国</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东北军民坚持抵抗</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全面抗战局面形成</w:t>
      </w:r>
    </w:p>
    <w:p>
      <w:pPr>
        <w:widowControl w:val="0"/>
        <w:spacing w:before="0" w:after="0" w:line="360" w:lineRule="auto"/>
        <w:jc w:val="both"/>
        <w:rPr>
          <w:sz w:val="21"/>
          <w:szCs w:val="21"/>
        </w:rPr>
      </w:pPr>
      <w:r>
        <w:rPr>
          <w:sz w:val="21"/>
          <w:szCs w:val="21"/>
        </w:rPr>
        <w:t xml:space="preserve">8. </w:t>
      </w:r>
      <w:r>
        <w:rPr>
          <w:rFonts w:ascii="SimSun" w:eastAsia="SimSun" w:hAnsi="SimSun" w:cs="SimSun"/>
          <w:sz w:val="21"/>
          <w:szCs w:val="21"/>
        </w:rPr>
        <w:t>1953年，东北扫除文盲工作委员会编写了《农民速成识字课本》,课文采用的是像三字经一样的韵文体：“日月光，照四方，天上明，地下亮，毛主席，共产党，领导咱，有力量……”让群众读起来朗朗上口。据此可知，新中国初期的扫盲运动（</w:t>
      </w:r>
      <w:r>
        <w:rPr>
          <w:rFonts w:ascii="SimSun" w:eastAsia="SimSun" w:hAnsi="SimSun" w:cs="SimSun"/>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3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基本消灭了文盲现象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致力于群众精神文明建设</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注重政治文化的渗透</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创新传统文化的传承方式</w:t>
      </w:r>
    </w:p>
    <w:p>
      <w:pPr>
        <w:widowControl w:val="0"/>
        <w:spacing w:before="0" w:after="0" w:line="360" w:lineRule="auto"/>
        <w:jc w:val="both"/>
        <w:rPr>
          <w:sz w:val="21"/>
          <w:szCs w:val="21"/>
        </w:rPr>
      </w:pPr>
      <w:r>
        <w:rPr>
          <w:sz w:val="21"/>
          <w:szCs w:val="21"/>
        </w:rPr>
        <w:t xml:space="preserve">9. </w:t>
      </w:r>
      <w:r>
        <w:rPr>
          <w:rFonts w:ascii="SimSun" w:eastAsia="SimSun" w:hAnsi="SimSun" w:cs="SimSun"/>
          <w:sz w:val="21"/>
          <w:szCs w:val="21"/>
        </w:rPr>
        <w:t>下表为新中国某一时期主要工农业产品产量，表格反映的情况主要得益于（</w:t>
      </w:r>
      <w:r>
        <w:rPr>
          <w:rFonts w:ascii="SimSun" w:eastAsia="SimSun" w:hAnsi="SimSun" w:cs="SimSun"/>
          <w:sz w:val="21"/>
          <w:szCs w:val="21"/>
        </w:rPr>
        <w:t xml:space="preserve">   </w:t>
      </w:r>
      <w:r>
        <w:rPr>
          <w:rFonts w:ascii="SimSun" w:eastAsia="SimSun" w:hAnsi="SimSun" w:cs="SimSun"/>
          <w:sz w:val="21"/>
          <w:szCs w:val="21"/>
        </w:rPr>
        <w:t>）</w:t>
      </w:r>
    </w:p>
    <w:tbl>
      <w:tblPr>
        <w:tblW w:w="723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320"/>
        <w:gridCol w:w="1215"/>
        <w:gridCol w:w="1215"/>
        <w:gridCol w:w="1215"/>
        <w:gridCol w:w="1215"/>
        <w:gridCol w:w="1110"/>
      </w:tblGrid>
      <w:tr>
        <w:tblPrEx>
          <w:tblW w:w="723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126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工农业产品</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1953年</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1954年</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1955年</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1956年</w:t>
            </w:r>
          </w:p>
        </w:tc>
        <w:tc>
          <w:tcPr>
            <w:tcW w:w="11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1957年</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粮食</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16683万吨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16952吨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18394吨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19275吨</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19505吨</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棉花</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117.5万吨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106.5万吨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151.8万吨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144.5万吨</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164万吨</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纱</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74</w:t>
            </w:r>
            <w:r>
              <w:rPr>
                <w:b w:val="0"/>
                <w:bCs w:val="0"/>
                <w:i w:val="0"/>
                <w:iCs w:val="0"/>
                <w:smallCaps w:val="0"/>
                <w:strike w:val="0"/>
                <w:color w:val="000000"/>
                <w:sz w:val="21"/>
                <w:szCs w:val="21"/>
                <w:u w:val="none"/>
              </w:rPr>
              <w:drawing>
                <wp:inline>
                  <wp:extent cx="38100" cy="95250"/>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11"/>
                          <a:stretch>
                            <a:fillRect/>
                          </a:stretch>
                        </pic:blipFill>
                        <pic:spPr>
                          <a:xfrm>
                            <a:off x="0" y="0"/>
                            <a:ext cx="38100" cy="95250"/>
                          </a:xfrm>
                          <a:prstGeom prst="rect">
                            <a:avLst/>
                          </a:prstGeom>
                        </pic:spPr>
                      </pic:pic>
                    </a:graphicData>
                  </a:graphic>
                </wp:inline>
              </w:drawing>
            </w:r>
            <w:r>
              <w:rPr>
                <w:rFonts w:ascii="SimSun" w:eastAsia="SimSun" w:hAnsi="SimSun" w:cs="SimSun"/>
                <w:b w:val="0"/>
                <w:bCs w:val="0"/>
                <w:i w:val="0"/>
                <w:iCs w:val="0"/>
                <w:smallCaps w:val="0"/>
                <w:color w:val="000000"/>
                <w:sz w:val="21"/>
                <w:szCs w:val="21"/>
              </w:rPr>
              <w:t>5万吨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83.4万吨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72万吨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95.2万吨</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84.4万吨</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布</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46.9亿米</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52.3亿米</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43.6亿米</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57.7亿米</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50.5亿米</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原盐</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357万吨</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489万吨</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754万吨</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494万吨</w:t>
            </w:r>
          </w:p>
        </w:tc>
        <w:tc>
          <w:tcPr>
            <w:tcW w:w="11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828万吨</w:t>
            </w:r>
          </w:p>
        </w:tc>
      </w:tr>
    </w:tbl>
    <w:p>
      <w:pPr>
        <w:widowControl w:val="0"/>
        <w:spacing w:before="0" w:after="0" w:line="360" w:lineRule="auto"/>
        <w:jc w:val="both"/>
        <w:rPr>
          <w:sz w:val="21"/>
          <w:szCs w:val="21"/>
        </w:r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政权巩固与国民经济调整</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优先发展重工业的方针</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社会主义建设的全面展开</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国家对民生建设的关注</w:t>
      </w:r>
    </w:p>
    <w:p>
      <w:pPr>
        <w:widowControl w:val="0"/>
        <w:spacing w:before="0" w:after="0" w:line="360" w:lineRule="auto"/>
        <w:jc w:val="both"/>
        <w:rPr>
          <w:sz w:val="21"/>
          <w:szCs w:val="21"/>
        </w:rPr>
      </w:pPr>
      <w:r>
        <w:rPr>
          <w:sz w:val="21"/>
          <w:szCs w:val="21"/>
        </w:rPr>
        <w:t xml:space="preserve">10. </w:t>
      </w:r>
      <w:r>
        <w:rPr>
          <w:rFonts w:ascii="SimSun" w:eastAsia="SimSun" w:hAnsi="SimSun" w:cs="SimSun"/>
          <w:sz w:val="21"/>
          <w:szCs w:val="21"/>
        </w:rPr>
        <w:t>毛泽东在听取工作汇报时指出，要好好地研究、吸取斯大林的经验教训，一不准备工事，二不准备敌人进攻，三不搬家，这就是教训。沿海各省都要搬家，不仅工业交通部门，而且整个的学校、科学院、设计院，都要搬家。毛泽东的这一讲话最有可能出现于（</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1949年</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1954年</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1964年</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1973年</w:t>
      </w:r>
    </w:p>
    <w:p>
      <w:pPr>
        <w:widowControl w:val="0"/>
        <w:spacing w:before="0" w:after="0" w:line="360" w:lineRule="auto"/>
        <w:jc w:val="both"/>
        <w:rPr>
          <w:sz w:val="21"/>
          <w:szCs w:val="21"/>
        </w:rPr>
      </w:pPr>
      <w:r>
        <w:rPr>
          <w:sz w:val="21"/>
          <w:szCs w:val="21"/>
        </w:rPr>
        <w:t xml:space="preserve">11. </w:t>
      </w:r>
      <w:r>
        <w:rPr>
          <w:rFonts w:ascii="SimSun" w:eastAsia="SimSun" w:hAnsi="SimSun" w:cs="SimSun"/>
          <w:sz w:val="21"/>
          <w:szCs w:val="21"/>
        </w:rPr>
        <w:t>随着17世纪60年代之后伦敦咖啡馆</w:t>
      </w:r>
      <w:r>
        <w:rPr>
          <w:strike w:val="0"/>
          <w:sz w:val="21"/>
          <w:szCs w:val="21"/>
          <w:u w:val="none"/>
        </w:rPr>
        <w:drawing>
          <wp:inline>
            <wp:extent cx="133350" cy="180975"/>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蓬勃发展，平等、多元、开放、包容等逐渐成为咖啡馆文化的主流特性。咖啡馆对于顾客的阶层、身份、财富、地位、学识等层面不再具有强烈的限制。对此解读正确的是（</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世界范围内物种交流加强</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商品流动消弭了阶层差别</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全球贸易推动了社会进步</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工业革命丰富了民众生活</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1791年，英国出现了伦敦通讯会等群众性工人组织。这些组织在全国掀起大规模的群众运动高潮，并和宪法知识会等中等阶级改革组织结成同盟。1794年，英国政府对伦敦通讯会、宪法知识会的主要领导人提</w:t>
      </w:r>
      <w:r>
        <w:rPr>
          <w:strike w:val="0"/>
          <w:sz w:val="21"/>
          <w:szCs w:val="21"/>
          <w:u w:val="none"/>
        </w:rPr>
        <w:drawing>
          <wp:inline>
            <wp:extent cx="28575" cy="28575"/>
            <wp:docPr id="100049"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出叛国起诉，使改革运动元气大伤。此后直到1830年，只有工人阶级继续坚持斗争。这反映出英国（</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政治体制改革迫在眉睫</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成</w:t>
      </w:r>
      <w:r>
        <w:rPr>
          <w:strike w:val="0"/>
          <w:sz w:val="21"/>
          <w:szCs w:val="21"/>
          <w:u w:val="none"/>
        </w:rPr>
        <w:drawing>
          <wp:inline>
            <wp:extent cx="161925" cy="190500"/>
            <wp:docPr id="1000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13"/>
                    <a:stretch>
                      <a:fillRect/>
                    </a:stretch>
                  </pic:blipFill>
                  <pic:spPr>
                    <a:xfrm>
                      <a:off x="0" y="0"/>
                      <a:ext cx="161925" cy="190500"/>
                    </a:xfrm>
                    <a:prstGeom prst="rect">
                      <a:avLst/>
                    </a:prstGeom>
                  </pic:spPr>
                </pic:pic>
              </a:graphicData>
            </a:graphic>
          </wp:inline>
        </w:drawing>
      </w:r>
      <w:r>
        <w:rPr>
          <w:rFonts w:ascii="SimSun" w:eastAsia="SimSun" w:hAnsi="SimSun" w:cs="SimSun"/>
          <w:sz w:val="21"/>
          <w:szCs w:val="21"/>
        </w:rPr>
        <w:t>世界工人运动中心</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工业资产阶级夺取政权</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君主立宪制遭到了破坏</w:t>
      </w:r>
    </w:p>
    <w:p>
      <w:pPr>
        <w:widowControl w:val="0"/>
        <w:spacing w:before="0" w:after="0" w:line="360" w:lineRule="auto"/>
        <w:jc w:val="both"/>
        <w:rPr>
          <w:sz w:val="21"/>
          <w:szCs w:val="21"/>
        </w:rPr>
      </w:pPr>
      <w:r>
        <w:rPr>
          <w:sz w:val="21"/>
          <w:szCs w:val="21"/>
        </w:rPr>
        <w:t xml:space="preserve">13. </w:t>
      </w:r>
      <w:r>
        <w:rPr>
          <w:rFonts w:ascii="SimSun" w:eastAsia="SimSun" w:hAnsi="SimSun" w:cs="SimSun"/>
          <w:sz w:val="21"/>
          <w:szCs w:val="21"/>
        </w:rPr>
        <w:t>19世纪末20世纪初，在全球的各个角落，冲突不断发生：英国与俄国在波斯和阿富汗对抗；英国和法国在暹罗和尼罗河谷对抗；英国和德国在东非和西南非对抗；德国和法国在摩洛哥和西非对抗。这些冲突反映出（</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早期殖民掠夺的残酷性</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经济竞争引发了殖民对抗</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民族解放运动风起云涌</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欧洲的世界优势地位动摇</w:t>
      </w:r>
    </w:p>
    <w:p>
      <w:pPr>
        <w:widowControl w:val="0"/>
        <w:spacing w:before="0" w:after="0" w:line="360" w:lineRule="auto"/>
        <w:jc w:val="both"/>
        <w:rPr>
          <w:sz w:val="21"/>
          <w:szCs w:val="21"/>
        </w:rPr>
      </w:pPr>
      <w:r>
        <w:rPr>
          <w:sz w:val="21"/>
          <w:szCs w:val="21"/>
        </w:rPr>
        <w:t xml:space="preserve">14. </w:t>
      </w:r>
      <w:r>
        <w:rPr>
          <w:rFonts w:ascii="SimSun" w:eastAsia="SimSun" w:hAnsi="SimSun" w:cs="SimSun"/>
          <w:sz w:val="21"/>
          <w:szCs w:val="21"/>
        </w:rPr>
        <w:t>下图主要反映的是（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5095875" cy="4162425"/>
            <wp:docPr id="1000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14"/>
                    <a:stretch>
                      <a:fillRect/>
                    </a:stretch>
                  </pic:blipFill>
                  <pic:spPr>
                    <a:xfrm>
                      <a:off x="0" y="0"/>
                      <a:ext cx="5095875" cy="416242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两极格局形成</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两大阵营内部分化</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美苏冷战形势</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苏联实行战略收缩</w:t>
      </w:r>
    </w:p>
    <w:p>
      <w:pPr>
        <w:widowControl w:val="0"/>
        <w:spacing w:before="0" w:after="0" w:line="360" w:lineRule="auto"/>
        <w:jc w:val="both"/>
        <w:rPr>
          <w:sz w:val="21"/>
          <w:szCs w:val="21"/>
        </w:rPr>
      </w:pPr>
      <w:r>
        <w:rPr>
          <w:sz w:val="21"/>
          <w:szCs w:val="21"/>
        </w:rPr>
        <w:t xml:space="preserve">15. </w:t>
      </w:r>
      <w:r>
        <w:rPr>
          <w:rFonts w:ascii="SimSun" w:eastAsia="SimSun" w:hAnsi="SimSun" w:cs="SimSun"/>
          <w:sz w:val="21"/>
          <w:szCs w:val="21"/>
        </w:rPr>
        <w:t>20世纪六七十年代，“解放神学”在拉丁美洲兴起，大量神职人员运用马克思主义解释圣经，将矛头直指外来资本主义，认为发达国家与发展中国家之间地位的失衡才是拉美贫穷落后的根源。上述思想（</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体现了多元文化的杂糅</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丰富了宗教改革的内涵</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激发了民族意识的觉醒</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发展了马克思主义理论</w:t>
      </w:r>
      <w:r>
        <w:rPr>
          <w:strike w:val="0"/>
          <w:sz w:val="21"/>
          <w:szCs w:val="21"/>
          <w:u w:val="none"/>
        </w:rPr>
        <w:drawing>
          <wp:inline>
            <wp:extent cx="28575" cy="28575"/>
            <wp:docPr id="100067"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pPr>
      <w:r>
        <w:rPr>
          <w:rFonts w:ascii="SimSun" w:eastAsia="SimSun" w:hAnsi="SimSun" w:cs="SimSun"/>
          <w:b/>
          <w:bCs/>
        </w:rPr>
        <w:t>二、非选择题：本大题共4题，满分55分，请在相应的答题区域内作答。</w:t>
      </w:r>
    </w:p>
    <w:p>
      <w:pPr>
        <w:widowControl w:val="0"/>
        <w:spacing w:before="0" w:after="0" w:line="360" w:lineRule="auto"/>
        <w:jc w:val="both"/>
        <w:rPr>
          <w:sz w:val="21"/>
          <w:szCs w:val="21"/>
        </w:rPr>
      </w:pPr>
      <w:r>
        <w:rPr>
          <w:sz w:val="21"/>
          <w:szCs w:val="21"/>
        </w:rPr>
        <w:t xml:space="preserve">16.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材料一</w:t>
      </w:r>
      <w:r>
        <w:rPr>
          <w:rFonts w:ascii="KaiTi" w:eastAsia="KaiTi" w:hAnsi="KaiTi" w:cs="KaiTi"/>
          <w:sz w:val="21"/>
          <w:szCs w:val="21"/>
        </w:rPr>
        <w:t xml:space="preserve">  </w:t>
      </w:r>
      <w:r>
        <w:rPr>
          <w:rFonts w:ascii="KaiTi" w:eastAsia="KaiTi" w:hAnsi="KaiTi" w:cs="KaiTi"/>
          <w:sz w:val="21"/>
          <w:szCs w:val="21"/>
        </w:rPr>
        <w:t>顺治五年，顺治帝诏令“各处设养济院，收养鳏寡孤独及残疾无告之人”。此后诸帝多有复申，养济院设置逐渐遍布全国县治以上城市。但在雍正年间，养济院任意克扣侵蚀，无赖混充冒入等情况已经屡见不鲜。为消除官营所带来的弊端，清朝晚期，地方社会也开始介入养济院的建设。与此同时，清政府和部分先进的中国人开始认识到中国传统善堂只事收养的不足，直隶、山东等十数省陆续设立工艺局，以流民为收容对象，不仅注意收养，而且重视教给流民工艺，使之可自食其力。</w:t>
      </w:r>
    </w:p>
    <w:p>
      <w:pPr>
        <w:widowControl w:val="0"/>
        <w:spacing w:before="0" w:after="0" w:line="360" w:lineRule="auto"/>
        <w:jc w:val="right"/>
        <w:rPr>
          <w:sz w:val="21"/>
          <w:szCs w:val="21"/>
        </w:rPr>
      </w:pPr>
      <w:r>
        <w:rPr>
          <w:rFonts w:ascii="KaiTi" w:eastAsia="KaiTi" w:hAnsi="KaiTi" w:cs="KaiTi"/>
          <w:sz w:val="21"/>
          <w:szCs w:val="21"/>
        </w:rPr>
        <w:t>——摘编自王卫平等《清代社会保障政策研究》</w:t>
      </w:r>
    </w:p>
    <w:p>
      <w:pPr>
        <w:widowControl w:val="0"/>
        <w:spacing w:before="0" w:after="0" w:line="360" w:lineRule="auto"/>
        <w:ind w:firstLine="420"/>
        <w:jc w:val="both"/>
        <w:rPr>
          <w:sz w:val="21"/>
          <w:szCs w:val="21"/>
        </w:rPr>
      </w:pPr>
      <w:r>
        <w:rPr>
          <w:rFonts w:ascii="KaiTi" w:eastAsia="KaiTi" w:hAnsi="KaiTi" w:cs="KaiTi"/>
          <w:sz w:val="21"/>
          <w:szCs w:val="21"/>
        </w:rPr>
        <w:t>材料二</w:t>
      </w:r>
      <w:r>
        <w:rPr>
          <w:rFonts w:ascii="KaiTi" w:eastAsia="KaiTi" w:hAnsi="KaiTi" w:cs="KaiTi"/>
          <w:sz w:val="21"/>
          <w:szCs w:val="21"/>
        </w:rPr>
        <w:t xml:space="preserve">  </w:t>
      </w:r>
      <w:r>
        <w:rPr>
          <w:rFonts w:ascii="KaiTi" w:eastAsia="KaiTi" w:hAnsi="KaiTi" w:cs="KaiTi"/>
          <w:sz w:val="21"/>
          <w:szCs w:val="21"/>
        </w:rPr>
        <w:t>新中国成立初期，设立内务部负责对农村“五保户”和贫困户的救济，为他们发放粮、棉、油等生活必需品。1952年，成立了救灾委员会专门负责管理国内的救灾工作。政务院还依据“劳资两利”的方针妥善安置城镇失业人员以避免工厂、企业倒闭，产生更多的失业人员，并且鼓励工厂、企业积极发展生产以提供更多的就业岗位，并开展各种形式的就业培训班，提高失业劳动者的政治文化水平和职业技术能力。</w:t>
      </w:r>
    </w:p>
    <w:p>
      <w:pPr>
        <w:widowControl w:val="0"/>
        <w:spacing w:before="0" w:after="0" w:line="360" w:lineRule="auto"/>
        <w:jc w:val="right"/>
        <w:rPr>
          <w:sz w:val="21"/>
          <w:szCs w:val="21"/>
        </w:rPr>
      </w:pPr>
      <w:r>
        <w:rPr>
          <w:rFonts w:ascii="KaiTi" w:eastAsia="KaiTi" w:hAnsi="KaiTi" w:cs="KaiTi"/>
          <w:sz w:val="21"/>
          <w:szCs w:val="21"/>
        </w:rPr>
        <w:t>——摘编自樊友凯等《新中国成立以来的反贫困历程及基本经验》</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）根据材料一，归纳清代社会保障措施形成与发展的原因。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）根据材料二，概括新中国成立初期党和国家所采取的反贫困措施。</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）根据材料并结合所学知识，分别说明清朝时期与新中国成立初期社会保障措施的意义。</w:t>
      </w:r>
    </w:p>
    <w:p>
      <w:pPr>
        <w:widowControl w:val="0"/>
        <w:spacing w:before="0" w:after="0" w:line="360" w:lineRule="auto"/>
        <w:jc w:val="both"/>
        <w:rPr>
          <w:sz w:val="21"/>
          <w:szCs w:val="21"/>
        </w:rPr>
      </w:pPr>
      <w:r>
        <w:rPr>
          <w:sz w:val="21"/>
          <w:szCs w:val="21"/>
        </w:rPr>
        <w:t xml:space="preserve">17.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w:t>
      </w:r>
      <w:r>
        <w:rPr>
          <w:rFonts w:ascii="KaiTi" w:eastAsia="KaiTi" w:hAnsi="KaiTi" w:cs="KaiTi"/>
          <w:sz w:val="21"/>
          <w:szCs w:val="21"/>
        </w:rPr>
        <w:t xml:space="preserve">  </w:t>
      </w:r>
      <w:r>
        <w:rPr>
          <w:rFonts w:ascii="KaiTi" w:eastAsia="KaiTi" w:hAnsi="KaiTi" w:cs="KaiTi"/>
          <w:sz w:val="21"/>
          <w:szCs w:val="21"/>
        </w:rPr>
        <w:t>晚明时期，利玛窦等传教士通过“钟表外交”逐渐打通了与中国官方的交往，西洋钟表随之传入中国，因其制造工艺和走时的准确性日益受到社会的追捧。起初，进口钟表主要是满足宫廷及社会上层的需要。随着社会需求量的增大，东南沿海地区的许多城镇开始仿制并形成了一定的行业规模，上海、苏州、广州等地均出现相当数量的手工作坊，北京则出现专业的宫廷钟表作坊。在仿造过程中，人们逐渐加深了对钟表中所蕴含的原理、设计思想及制造工艺的认识。嘉庆时期，国产钟凭借相对低廉的价格、传统风格的外表以及各种精致的装饰设施，可与西方钟表在市场上竞争。随着钟表的普及，“官方定时约会，已用钟表为准”,学堂、商铺和工厂等社会组织也采用钟表校准时间，确保精细化的运转。19世纪中后期，大自鸣钟被安装在通商口岸的市政大楼、教堂、海关、银行等建筑物的顶部，西式钟楼成为新的城市生活地标。</w:t>
      </w:r>
    </w:p>
    <w:p>
      <w:pPr>
        <w:widowControl w:val="0"/>
        <w:spacing w:before="0" w:after="0" w:line="360" w:lineRule="auto"/>
        <w:ind w:firstLine="420"/>
        <w:jc w:val="right"/>
        <w:rPr>
          <w:sz w:val="21"/>
          <w:szCs w:val="21"/>
        </w:rPr>
      </w:pPr>
      <w:r>
        <w:rPr>
          <w:rFonts w:ascii="KaiTi" w:eastAsia="KaiTi" w:hAnsi="KaiTi" w:cs="KaiTi"/>
          <w:sz w:val="21"/>
          <w:szCs w:val="21"/>
        </w:rPr>
        <w:t>——商编自黄春艳《明清之际西洋钟表在中国的传播与制造》等</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）根据材料并结合所学知识，分析西洋钟表在中国逐步传播的原因。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）根据材料并结合所学知识，归纳钟表传播在中国产生的影响。</w:t>
      </w:r>
      <w:r>
        <w:rPr>
          <w:strike w:val="0"/>
          <w:sz w:val="21"/>
          <w:szCs w:val="21"/>
          <w:u w:val="none"/>
        </w:rPr>
        <w:drawing>
          <wp:inline>
            <wp:extent cx="28575" cy="28575"/>
            <wp:docPr id="100081"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 xml:space="preserve">18.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w:t>
      </w:r>
      <w:r>
        <w:rPr>
          <w:rFonts w:ascii="KaiTi" w:eastAsia="KaiTi" w:hAnsi="KaiTi" w:cs="KaiTi"/>
          <w:sz w:val="21"/>
          <w:szCs w:val="21"/>
        </w:rPr>
        <w:t xml:space="preserve">  </w:t>
      </w:r>
      <w:r>
        <w:rPr>
          <w:rFonts w:ascii="KaiTi" w:eastAsia="KaiTi" w:hAnsi="KaiTi" w:cs="KaiTi"/>
          <w:sz w:val="21"/>
          <w:szCs w:val="21"/>
        </w:rPr>
        <w:t>“熊猫外交”在新中国外交史上有着不可磨灭的作用。首次“熊猫外交”是在1957年，平平是第一只作为国家礼物送出的大熊猫，去了苏联。1972年尼克松访华后，美国将两头麝香牛赠送给中国，中国则将大熊猫玲玲和欣欣回赠给美国，由此引发了美国的“熊猫热”。据统计，到1982年，我国先后将23只大熊猫分别赠送给苏联、朝鲜、美国等9个国家。此后，由于担心数量非常有限的大熊猫种群日益减少，以传统赠送方式进行的“熊猫外交”有所转型，主要通过“巡展与商业性”的租借方式开展“熊猫外交”。1996年至2023年，中国与美国、英国、新加坡等18个国家的22个动物园先后建立了长期合作关系，开展大熊猫研究。大熊猫带着“和平”和“友谊”的寓意，拉近了海外公众和中国之间的距离，给中国形象添加了“温情”“友好”的一面。</w:t>
      </w:r>
    </w:p>
    <w:p>
      <w:pPr>
        <w:widowControl w:val="0"/>
        <w:spacing w:before="0" w:after="0" w:line="360" w:lineRule="auto"/>
        <w:ind w:firstLine="420"/>
        <w:jc w:val="right"/>
        <w:rPr>
          <w:sz w:val="21"/>
          <w:szCs w:val="21"/>
        </w:rPr>
      </w:pPr>
      <w:r>
        <w:rPr>
          <w:rFonts w:ascii="KaiTi" w:eastAsia="KaiTi" w:hAnsi="KaiTi" w:cs="KaiTi"/>
          <w:sz w:val="21"/>
          <w:szCs w:val="21"/>
        </w:rPr>
        <w:t>——摘编自赵丽君、郑保卫《国家形象视角的“熊猫外交”研究》等</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）根据材料，概括中国开展“熊猫外交”方式的变化，并结合所学知识概述其变化背景。</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）根据材料并结合所学内容，分析“熊猫外交”</w:t>
      </w:r>
      <w:r>
        <w:rPr>
          <w:strike w:val="0"/>
          <w:sz w:val="21"/>
          <w:szCs w:val="21"/>
          <w:u w:val="none"/>
        </w:rPr>
        <w:drawing>
          <wp:inline>
            <wp:extent cx="133350" cy="180975"/>
            <wp:docPr id="10009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影响。</w:t>
      </w:r>
    </w:p>
    <w:p>
      <w:pPr>
        <w:widowControl w:val="0"/>
        <w:spacing w:before="0" w:after="0" w:line="360" w:lineRule="auto"/>
        <w:jc w:val="both"/>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w:t>
      </w:r>
      <w:r>
        <w:rPr>
          <w:rFonts w:ascii="KaiTi" w:eastAsia="KaiTi" w:hAnsi="KaiTi" w:cs="KaiTi"/>
          <w:sz w:val="21"/>
          <w:szCs w:val="21"/>
        </w:rPr>
        <w:t xml:space="preserve">  </w:t>
      </w:r>
      <w:r>
        <w:rPr>
          <w:rFonts w:ascii="KaiTi" w:eastAsia="KaiTi" w:hAnsi="KaiTi" w:cs="KaiTi"/>
          <w:sz w:val="21"/>
          <w:szCs w:val="21"/>
        </w:rPr>
        <w:t>18世纪下半叶开始的工业革命，改变了英国传统的贵族、乡绅地主和农民的社会基本结构，新贵族、新兴的工商业者、工厂主日益膨胀壮大。这些经济地位日益稳固的有产者们，急于在行为和举止方面向上流社会看齐，海滨休闲即是一例。19世纪中叶以来，随着法定假日逐渐增多，从一般工人到机关职员，都纷纷享有了一定的闲暇时光。而工人工资的稳步上升，使得海滨休闲就有了可能。海滩上，不同等级、不同职业的人们济济一堂，呼吸着同样的空气、享受着同样的娱乐，海滨休闲从贵族的专利变成寻常百姓的生活内容。海滨休闲城镇的崛起，改变了以内陆为中心的经济地理结构，把人们的注意力引到边陲海疆，国家的经济地理取得了新的平衡。海滨城镇的迅速扩展，人口的膨胀，游客的激增，意味着服务业队伍的日趋扩大。与要求严格的技术工业不同，服务业大都是劳动强度与科技含量较低的行业，因此女性和文化程度低的人就业比重大，布兰克浦就以庞大的女房东队伍而著称，在旅馆和饭店服务的女性更多。</w:t>
      </w:r>
    </w:p>
    <w:p>
      <w:pPr>
        <w:widowControl w:val="0"/>
        <w:spacing w:before="0" w:after="0" w:line="360" w:lineRule="auto"/>
        <w:ind w:firstLine="420"/>
        <w:jc w:val="right"/>
        <w:rPr>
          <w:sz w:val="21"/>
          <w:szCs w:val="21"/>
        </w:rPr>
      </w:pPr>
      <w:r>
        <w:rPr>
          <w:rFonts w:ascii="KaiTi" w:eastAsia="KaiTi" w:hAnsi="KaiTi" w:cs="KaiTi"/>
          <w:sz w:val="21"/>
          <w:szCs w:val="21"/>
        </w:rPr>
        <w:t>——摘编自陆伟芳《英国近代海滨休闲城市初探》</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）根据材料并结合所学知识，概括近代英国海滨休闲城市兴起的原因。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）根据材料并结合所学知识，简析近代英国海滨休闲城市兴起的影响。</w:t>
      </w:r>
      <w:r>
        <w:rPr>
          <w:strike w:val="0"/>
          <w:sz w:val="21"/>
          <w:szCs w:val="21"/>
          <w:u w:val="none"/>
        </w:rPr>
        <w:drawing>
          <wp:inline>
            <wp:extent cx="28575" cy="28575"/>
            <wp:docPr id="10009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8" Type="http://schemas.openxmlformats.org/officeDocument/2006/relationships/theme" Target="theme/theme1.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8" Type="http://schemas.openxmlformats.org/officeDocument/2006/relationships/image" Target="media/image8.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