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360" w:lineRule="auto"/>
        <w:ind w:firstLine="2400" w:firstLineChars="1000"/>
        <w:textAlignment w:val="center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10528300</wp:posOffset>
            </wp:positionV>
            <wp:extent cx="393700" cy="3048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/>
          <w:color w:val="auto"/>
          <w:sz w:val="24"/>
          <w:szCs w:val="24"/>
          <w:lang w:val="en-US" w:eastAsia="zh-CN"/>
        </w:rPr>
        <w:t>24-25上学期七校联考高三生物学</w:t>
      </w:r>
      <w:bookmarkEnd w:id="0"/>
    </w:p>
    <w:p>
      <w:pPr>
        <w:spacing w:line="360" w:lineRule="auto"/>
        <w:textAlignment w:val="center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</w:t>
      </w:r>
      <w:r>
        <w:rPr>
          <w:color w:val="auto"/>
          <w:sz w:val="24"/>
          <w:szCs w:val="24"/>
        </w:rPr>
        <w:t>【答案】B</w:t>
      </w:r>
    </w:p>
    <w:p>
      <w:pPr>
        <w:spacing w:line="360" w:lineRule="auto"/>
        <w:jc w:val="left"/>
        <w:textAlignment w:val="center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color w:val="auto"/>
          <w:sz w:val="24"/>
          <w:szCs w:val="24"/>
        </w:rPr>
        <w:t>【答案】B</w:t>
      </w:r>
      <w:r>
        <w:rPr>
          <w:rFonts w:hint="eastAsia"/>
          <w:color w:val="auto"/>
          <w:sz w:val="24"/>
          <w:szCs w:val="24"/>
          <w:lang w:eastAsia="zh-CN"/>
        </w:rPr>
        <w:t>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</w:t>
      </w:r>
      <w:r>
        <w:rPr>
          <w:color w:val="auto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Theme="minorEastAsia"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4.</w:t>
      </w:r>
      <w:r>
        <w:rPr>
          <w:color w:val="auto"/>
          <w:sz w:val="24"/>
          <w:szCs w:val="24"/>
        </w:rPr>
        <w:t>【答案】</w:t>
      </w:r>
      <w:r>
        <w:rPr>
          <w:rFonts w:hint="eastAsia"/>
          <w:color w:val="auto"/>
          <w:sz w:val="24"/>
          <w:szCs w:val="24"/>
          <w:lang w:val="en-US" w:eastAsia="zh-CN"/>
        </w:rPr>
        <w:t>C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textAlignment w:val="auto"/>
        <w:rPr>
          <w:rFonts w:ascii="Times New Roman" w:hAnsi="Times New Roman" w:eastAsia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5.</w:t>
      </w:r>
      <w:r>
        <w:rPr>
          <w:color w:val="auto"/>
          <w:sz w:val="24"/>
          <w:szCs w:val="24"/>
        </w:rPr>
        <w:t>【答案】</w:t>
      </w:r>
      <w:r>
        <w:rPr>
          <w:rFonts w:hint="eastAsia"/>
          <w:color w:val="auto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Theme="minorEastAsia"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6.</w:t>
      </w:r>
      <w:r>
        <w:rPr>
          <w:color w:val="auto"/>
          <w:sz w:val="24"/>
          <w:szCs w:val="24"/>
        </w:rPr>
        <w:t>【答案】</w:t>
      </w:r>
      <w:r>
        <w:rPr>
          <w:rFonts w:hint="eastAsia"/>
          <w:color w:val="auto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Theme="minorEastAsia"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shd w:val="clear" w:color="auto" w:fill="auto"/>
          <w:lang w:val="en-US" w:eastAsia="zh-CN"/>
        </w:rPr>
        <w:t>7.</w:t>
      </w:r>
      <w:r>
        <w:rPr>
          <w:color w:val="auto"/>
          <w:sz w:val="24"/>
          <w:szCs w:val="24"/>
        </w:rPr>
        <w:t>【答案】</w:t>
      </w:r>
      <w:r>
        <w:rPr>
          <w:rFonts w:hint="eastAsia"/>
          <w:color w:val="auto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8.</w:t>
      </w:r>
      <w:r>
        <w:rPr>
          <w:color w:val="auto"/>
          <w:sz w:val="24"/>
          <w:szCs w:val="24"/>
        </w:rPr>
        <w:t>【答案】D</w:t>
      </w:r>
    </w:p>
    <w:p>
      <w:pPr>
        <w:shd w:val="clear" w:color="auto" w:fill="auto"/>
        <w:spacing w:line="360" w:lineRule="auto"/>
        <w:jc w:val="left"/>
        <w:textAlignment w:val="center"/>
        <w:rPr>
          <w:rFonts w:eastAsiaTheme="minorEastAsia" w:hint="eastAsia"/>
          <w:color w:val="auto"/>
          <w:sz w:val="24"/>
          <w:szCs w:val="24"/>
          <w:shd w:val="clear" w:color="auto" w:fill="auto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9.</w:t>
      </w:r>
      <w:r>
        <w:rPr>
          <w:color w:val="auto"/>
          <w:sz w:val="24"/>
          <w:szCs w:val="24"/>
          <w:shd w:val="clear" w:color="auto" w:fill="auto"/>
        </w:rPr>
        <w:t>【答案】</w:t>
      </w:r>
      <w:r>
        <w:rPr>
          <w:rFonts w:hint="eastAsia"/>
          <w:color w:val="auto"/>
          <w:sz w:val="24"/>
          <w:szCs w:val="24"/>
          <w:shd w:val="clear" w:color="auto" w:fill="auto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Theme="minorEastAsia"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10.</w:t>
      </w:r>
      <w:r>
        <w:rPr>
          <w:color w:val="auto"/>
          <w:sz w:val="24"/>
          <w:szCs w:val="24"/>
        </w:rPr>
        <w:t>【答案】</w:t>
      </w:r>
      <w:r>
        <w:rPr>
          <w:rFonts w:hint="eastAsia"/>
          <w:color w:val="auto"/>
          <w:sz w:val="24"/>
          <w:szCs w:val="24"/>
          <w:lang w:val="en-US" w:eastAsia="zh-CN"/>
        </w:rPr>
        <w:t>C</w:t>
      </w:r>
    </w:p>
    <w:p>
      <w:pPr>
        <w:shd w:val="clear" w:color="auto" w:fill="auto"/>
        <w:spacing w:line="360" w:lineRule="auto"/>
        <w:jc w:val="left"/>
        <w:textAlignment w:val="center"/>
        <w:rPr>
          <w:rFonts w:eastAsiaTheme="minorEastAsia"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11.</w:t>
      </w:r>
      <w:r>
        <w:rPr>
          <w:color w:val="auto"/>
          <w:sz w:val="24"/>
          <w:szCs w:val="24"/>
        </w:rPr>
        <w:t>【答案】</w:t>
      </w:r>
      <w:r>
        <w:rPr>
          <w:rFonts w:hint="eastAsia"/>
          <w:color w:val="auto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12.</w:t>
      </w:r>
      <w:r>
        <w:rPr>
          <w:color w:val="auto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Theme="minorEastAsia"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13.</w:t>
      </w:r>
      <w:r>
        <w:rPr>
          <w:color w:val="auto"/>
          <w:sz w:val="24"/>
          <w:szCs w:val="24"/>
        </w:rPr>
        <w:t>【答案】</w:t>
      </w:r>
      <w:r>
        <w:rPr>
          <w:rFonts w:hint="eastAsia"/>
          <w:color w:val="auto"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14.</w:t>
      </w:r>
      <w:r>
        <w:rPr>
          <w:color w:val="auto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15.</w:t>
      </w:r>
      <w:r>
        <w:rPr>
          <w:color w:val="auto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Theme="minorEastAsia"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16</w:t>
      </w:r>
      <w:r>
        <w:rPr>
          <w:color w:val="auto"/>
          <w:sz w:val="24"/>
          <w:szCs w:val="24"/>
        </w:rPr>
        <w:t>【答案】</w:t>
      </w:r>
      <w:r>
        <w:rPr>
          <w:rFonts w:hint="eastAsia"/>
          <w:color w:val="auto"/>
          <w:sz w:val="24"/>
          <w:szCs w:val="24"/>
          <w:lang w:val="en-US" w:eastAsia="zh-CN"/>
        </w:rPr>
        <w:t>D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4"/>
          <w:szCs w:val="24"/>
          <w:shd w:val="clear" w:color="auto" w:fill="auto"/>
          <w:lang w:val="en-US" w:eastAsia="zh-CN"/>
        </w:rPr>
      </w:pPr>
      <w:r>
        <w:rPr>
          <w:rFonts w:hint="eastAsia"/>
          <w:color w:val="auto"/>
          <w:sz w:val="24"/>
          <w:szCs w:val="24"/>
          <w:shd w:val="clear" w:color="auto" w:fill="auto"/>
          <w:lang w:val="en-US" w:eastAsia="zh-CN"/>
        </w:rPr>
        <w:t>共12分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color w:val="auto"/>
          <w:sz w:val="24"/>
          <w:szCs w:val="24"/>
          <w:shd w:val="clear" w:color="auto" w:fill="auto"/>
        </w:rPr>
      </w:pPr>
      <w:r>
        <w:rPr>
          <w:color w:val="auto"/>
          <w:sz w:val="24"/>
          <w:szCs w:val="24"/>
          <w:shd w:val="clear" w:color="auto" w:fill="auto"/>
        </w:rPr>
        <w:t>(1)增大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color w:val="auto"/>
          <w:sz w:val="24"/>
          <w:szCs w:val="24"/>
          <w:shd w:val="clear" w:color="auto" w:fill="auto"/>
        </w:rPr>
        <w:t xml:space="preserve">     渗透作用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4"/>
          <w:szCs w:val="24"/>
          <w:shd w:val="clear" w:color="auto" w:fill="auto"/>
        </w:rPr>
      </w:pPr>
      <w:r>
        <w:rPr>
          <w:color w:val="auto"/>
          <w:sz w:val="24"/>
          <w:szCs w:val="24"/>
          <w:shd w:val="clear" w:color="auto" w:fill="auto"/>
        </w:rPr>
        <w:t>(2) BAM1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color w:val="auto"/>
          <w:sz w:val="24"/>
          <w:szCs w:val="24"/>
          <w:shd w:val="clear" w:color="auto" w:fill="auto"/>
        </w:rPr>
        <w:t xml:space="preserve">     与夜晚结束时相比，光照1h后野生型和BAM2突变体保卫细胞中的淀粉粒面积明显缩小，但BAM1突变体淀粉粒面积基本不变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4"/>
          <w:szCs w:val="24"/>
          <w:shd w:val="clear" w:color="auto" w:fill="auto"/>
        </w:rPr>
      </w:pPr>
      <w:r>
        <w:rPr>
          <w:color w:val="auto"/>
          <w:sz w:val="24"/>
          <w:szCs w:val="24"/>
          <w:shd w:val="clear" w:color="auto" w:fill="auto"/>
        </w:rPr>
        <w:t>(3)低于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color w:val="auto"/>
          <w:sz w:val="24"/>
          <w:szCs w:val="24"/>
          <w:shd w:val="clear" w:color="auto" w:fill="auto"/>
        </w:rPr>
        <w:t xml:space="preserve">     蓝光受体突变型植株</w:t>
      </w:r>
      <w:r>
        <w:rPr>
          <w:color w:val="auto"/>
          <w:sz w:val="24"/>
          <w:szCs w:val="24"/>
          <w:u w:val="single"/>
          <w:shd w:val="clear" w:color="auto" w:fill="auto"/>
        </w:rPr>
        <w:t>无法感受蓝光信号</w:t>
      </w:r>
      <w:r>
        <w:rPr>
          <w:color w:val="auto"/>
          <w:sz w:val="24"/>
          <w:szCs w:val="24"/>
          <w:shd w:val="clear" w:color="auto" w:fill="auto"/>
        </w:rPr>
        <w:t>，保卫细胞内淀粉分解受阻导致植株</w:t>
      </w:r>
      <w:r>
        <w:rPr>
          <w:color w:val="auto"/>
          <w:sz w:val="24"/>
          <w:szCs w:val="24"/>
          <w:u w:val="single"/>
          <w:shd w:val="clear" w:color="auto" w:fill="auto"/>
        </w:rPr>
        <w:t>气孔开度较小，CO2吸收少</w:t>
      </w:r>
      <w:r>
        <w:rPr>
          <w:color w:val="auto"/>
          <w:sz w:val="24"/>
          <w:szCs w:val="24"/>
          <w:shd w:val="clear" w:color="auto" w:fill="auto"/>
        </w:rPr>
        <w:t>，蓝光受体突变型叶肉细胞</w:t>
      </w:r>
      <w:r>
        <w:rPr>
          <w:color w:val="auto"/>
          <w:sz w:val="24"/>
          <w:szCs w:val="24"/>
          <w:u w:val="single"/>
          <w:shd w:val="clear" w:color="auto" w:fill="auto"/>
        </w:rPr>
        <w:t>光合速率下降</w:t>
      </w:r>
      <w:r>
        <w:rPr>
          <w:color w:val="auto"/>
          <w:sz w:val="24"/>
          <w:szCs w:val="24"/>
          <w:shd w:val="clear" w:color="auto" w:fill="auto"/>
        </w:rPr>
        <w:t>，淀粉合成减少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3分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4"/>
          <w:szCs w:val="24"/>
          <w:shd w:val="clear" w:color="auto" w:fill="auto"/>
        </w:rPr>
      </w:pPr>
      <w:r>
        <w:rPr>
          <w:color w:val="auto"/>
          <w:sz w:val="24"/>
          <w:szCs w:val="24"/>
          <w:shd w:val="clear" w:color="auto" w:fill="auto"/>
        </w:rPr>
        <w:t>(4)为植物光合作用提供光能；作为信号调节植物的生命活动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18.共10分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⑤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⑥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⑦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color w:val="auto"/>
          <w:sz w:val="24"/>
          <w:szCs w:val="24"/>
        </w:rPr>
        <w:t xml:space="preserve">    次级卵母细胞和（第一）极体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color w:val="auto"/>
          <w:sz w:val="24"/>
          <w:szCs w:val="24"/>
        </w:rPr>
        <w:t xml:space="preserve">     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color w:val="auto"/>
          <w:sz w:val="24"/>
          <w:szCs w:val="24"/>
        </w:rPr>
        <w:t>a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color w:val="auto"/>
          <w:sz w:val="24"/>
          <w:szCs w:val="24"/>
        </w:rPr>
        <w:t xml:space="preserve"> 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color w:val="auto"/>
          <w:sz w:val="24"/>
          <w:szCs w:val="24"/>
        </w:rPr>
        <w:t xml:space="preserve"> 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color w:val="auto"/>
          <w:sz w:val="24"/>
          <w:szCs w:val="24"/>
        </w:rPr>
        <w:t xml:space="preserve"> Ⅲ和Ⅳ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color w:val="auto"/>
          <w:sz w:val="24"/>
          <w:szCs w:val="24"/>
        </w:rPr>
        <w:t xml:space="preserve">     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（3）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①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color w:val="auto"/>
          <w:sz w:val="24"/>
          <w:szCs w:val="24"/>
        </w:rPr>
        <w:t xml:space="preserve">    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</w:t>
      </w:r>
      <w:r>
        <w:rPr>
          <w:color w:val="auto"/>
          <w:sz w:val="24"/>
          <w:szCs w:val="24"/>
        </w:rPr>
        <w:t>受精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color w:val="auto"/>
          <w:sz w:val="24"/>
          <w:szCs w:val="24"/>
        </w:rPr>
        <w:t xml:space="preserve">     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  <w:lang w:val="en-US" w:eastAsia="zh-CN"/>
        </w:rPr>
        <w:t>BC、DE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color w:val="auto"/>
          <w:sz w:val="24"/>
          <w:szCs w:val="24"/>
        </w:rPr>
        <w:t xml:space="preserve">     着丝</w:t>
      </w:r>
      <w:r>
        <w:rPr>
          <w:rFonts w:hint="eastAsia"/>
          <w:color w:val="auto"/>
          <w:sz w:val="24"/>
          <w:szCs w:val="24"/>
          <w:lang w:val="en-US" w:eastAsia="zh-CN"/>
        </w:rPr>
        <w:t>粒</w:t>
      </w:r>
      <w:r>
        <w:rPr>
          <w:color w:val="auto"/>
          <w:sz w:val="24"/>
          <w:szCs w:val="24"/>
        </w:rPr>
        <w:t>分裂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322"/>
        </w:tabs>
        <w:bidi w:val="0"/>
        <w:ind w:leftChars="0"/>
        <w:jc w:val="left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19.共12分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(1)由正电位变为负电位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(2)增加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t xml:space="preserve">     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可卡因与多巴胺转运蛋白结合，阻止多巴胺被回收，导致突触间隙中多巴胺含量增加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(3)受体蛋白减少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t xml:space="preserve">     受体蛋白数量恢复正常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(4)实验思路：将戒毒后的模型鼠随机</w:t>
      </w:r>
      <w:r>
        <w:rPr>
          <w:rFonts w:hint="eastAsia"/>
          <w:lang w:val="en-US" w:eastAsia="zh-CN"/>
        </w:rPr>
        <w:t>随机均</w:t>
      </w:r>
      <w:r>
        <w:t>分为两组，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一组进行适度运动训练，另一组不进行运动作为对照，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一段时间后检测两组小鼠突触后膜上多巴胺受体数量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3分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t xml:space="preserve">     </w:t>
      </w:r>
    </w:p>
    <w:p>
      <w:pPr>
        <w:shd w:val="clear" w:color="auto" w:fill="auto"/>
        <w:spacing w:line="360" w:lineRule="auto"/>
        <w:jc w:val="left"/>
        <w:textAlignment w:val="center"/>
      </w:pPr>
      <w:r>
        <w:t>预期实验结果：运动组小鼠突触后膜上多巴胺受体数量多于对照组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cs="Times New Roman" w:hint="default"/>
          <w:kern w:val="2"/>
          <w:sz w:val="24"/>
          <w:szCs w:val="24"/>
          <w:lang w:val="en-US" w:eastAsia="zh-CN" w:bidi="ar-SA"/>
        </w:rPr>
      </w:pPr>
      <w:r>
        <w:rPr>
          <w:rFonts w:cs="Times New Roman" w:hint="eastAsia"/>
          <w:kern w:val="2"/>
          <w:sz w:val="24"/>
          <w:szCs w:val="24"/>
          <w:lang w:val="en-US" w:eastAsia="zh-CN" w:bidi="ar-SA"/>
        </w:rPr>
        <w:t>20.共12分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4"/>
          <w:szCs w:val="24"/>
          <w:lang w:eastAsia="zh-CN"/>
        </w:rPr>
      </w:pPr>
      <w:r>
        <w:rPr>
          <w:sz w:val="24"/>
          <w:szCs w:val="24"/>
        </w:rPr>
        <w:t>(1)免疫器官，免疫细胞和免疫活性物质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摄取</w:t>
      </w:r>
      <w:r>
        <w:rPr>
          <w:rFonts w:hint="eastAsia"/>
          <w:sz w:val="24"/>
          <w:szCs w:val="24"/>
          <w:lang w:val="en-US" w:eastAsia="zh-CN"/>
        </w:rPr>
        <w:t>和</w:t>
      </w:r>
      <w:r>
        <w:rPr>
          <w:sz w:val="24"/>
          <w:szCs w:val="24"/>
        </w:rPr>
        <w:t>加工</w:t>
      </w:r>
      <w:r>
        <w:rPr>
          <w:rFonts w:hint="eastAsia"/>
          <w:sz w:val="24"/>
          <w:szCs w:val="24"/>
          <w:lang w:val="en-US" w:eastAsia="zh-CN"/>
        </w:rPr>
        <w:t>处理</w:t>
      </w:r>
      <w:r>
        <w:rPr>
          <w:sz w:val="24"/>
          <w:szCs w:val="24"/>
        </w:rPr>
        <w:t>抗原，将抗原信息暴露在细胞表面，呈递给其他免疫细胞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辅助性T细胞表面的特定分子发生变化并与B细胞结合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(3) 促甲状腺激素受体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合成</w:t>
      </w:r>
      <w:r>
        <w:rPr>
          <w:rFonts w:hint="eastAsia"/>
          <w:sz w:val="24"/>
          <w:szCs w:val="24"/>
          <w:lang w:val="en-US" w:eastAsia="zh-CN"/>
        </w:rPr>
        <w:t>或</w:t>
      </w:r>
      <w:r>
        <w:rPr>
          <w:sz w:val="24"/>
          <w:szCs w:val="24"/>
        </w:rPr>
        <w:t>分泌</w:t>
      </w:r>
      <w:r>
        <w:rPr>
          <w:rFonts w:hint="eastAsia"/>
          <w:sz w:val="24"/>
          <w:szCs w:val="24"/>
          <w:lang w:val="en-US" w:eastAsia="zh-CN"/>
        </w:rPr>
        <w:t>均得分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(4) 甲状腺细胞表面抗原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     细胞毒性T细胞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共14分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 76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 xml:space="preserve">    0或1或2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(2)AABB×AAbb或aaBB×AAbb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(3)    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66925" cy="1057275"/>
            <wp:effectExtent l="0" t="0" r="9525" b="9525"/>
            <wp:docPr id="16" name="图片 3" descr="@@@555ca472-a37f-4519-b49d-dc49580270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@@@555ca472-a37f-4519-b49d-dc495802707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2分，每图各1分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 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4"/>
          <w:szCs w:val="24"/>
          <w:lang w:eastAsia="zh-CN"/>
        </w:rPr>
      </w:pPr>
      <w:r>
        <w:rPr>
          <w:sz w:val="24"/>
          <w:szCs w:val="24"/>
        </w:rPr>
        <w:t xml:space="preserve"> 黄色∶黑色∶白色=1∶1∶2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     黄色∶白色=1∶1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eastAsiaTheme="minorEastAsia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1/9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2分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/>
    <w:sectPr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3434EC"/>
    <w:multiLevelType w:val="singleLevel"/>
    <w:tmpl w:val="833434EC"/>
    <w:lvl w:ilvl="0">
      <w:start w:val="2"/>
      <w:numFmt w:val="decimal"/>
      <w:suff w:val="space"/>
      <w:lvlText w:val="(%1)"/>
      <w:lvlJc w:val="left"/>
    </w:lvl>
  </w:abstractNum>
  <w:abstractNum w:abstractNumId="1">
    <w:nsid w:val="28D624F5"/>
    <w:multiLevelType w:val="singleLevel"/>
    <w:tmpl w:val="28D624F5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566DB1"/>
    <w:rsid w:val="004151FC"/>
    <w:rsid w:val="00C02FC6"/>
    <w:rsid w:val="24566DB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hint="eastAsia"/>
      <w:kern w:val="2"/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欧丽桢</dc:creator>
  <cp:lastModifiedBy>欧丽桢</cp:lastModifiedBy>
  <cp:revision>1</cp:revision>
  <dcterms:created xsi:type="dcterms:W3CDTF">2024-11-26T07:34:00Z</dcterms:created>
  <dcterms:modified xsi:type="dcterms:W3CDTF">2024-11-26T07:37:18Z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