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8580B00">
      <w:pPr>
        <w:spacing w:line="360" w:lineRule="auto"/>
        <w:jc w:val="center"/>
      </w:pPr>
      <w:r>
        <w:rPr>
          <w:rFonts w:ascii="宋体" w:hAnsi="宋体" w:eastAsia="宋体" w:cs="宋体"/>
          <w:b/>
          <w:color w:val="auto"/>
          <w:sz w:val="3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11963400</wp:posOffset>
            </wp:positionH>
            <wp:positionV relativeFrom="topMargin">
              <wp:posOffset>12611100</wp:posOffset>
            </wp:positionV>
            <wp:extent cx="444500" cy="317500"/>
            <wp:effectExtent l="0" t="0" r="12700" b="2540"/>
            <wp:wrapNone/>
            <wp:docPr id="100018" name="图片 1000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8" name="图片 10001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4500" cy="317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 w:eastAsia="宋体" w:cs="宋体"/>
          <w:b/>
          <w:color w:val="auto"/>
          <w:sz w:val="32"/>
        </w:rPr>
        <w:t>东莞市2024—2025学年第一学期七校联考</w:t>
      </w:r>
    </w:p>
    <w:p w14:paraId="6050A700">
      <w:pPr>
        <w:spacing w:line="360" w:lineRule="auto"/>
        <w:jc w:val="center"/>
      </w:pPr>
      <w:r>
        <w:rPr>
          <w:rFonts w:ascii="宋体" w:hAnsi="宋体" w:eastAsia="宋体" w:cs="宋体"/>
          <w:b/>
          <w:color w:val="auto"/>
          <w:sz w:val="32"/>
        </w:rPr>
        <w:t>高三思想政治试卷</w:t>
      </w:r>
    </w:p>
    <w:p w14:paraId="097F0E4A">
      <w:pPr>
        <w:spacing w:line="360" w:lineRule="auto"/>
        <w:jc w:val="center"/>
      </w:pPr>
      <w:r>
        <w:rPr>
          <w:rFonts w:ascii="宋体" w:hAnsi="宋体" w:eastAsia="宋体" w:cs="宋体"/>
          <w:b/>
          <w:color w:val="auto"/>
          <w:sz w:val="24"/>
        </w:rPr>
        <w:t>本试卷满分100分 考试用时75分钟</w:t>
      </w:r>
    </w:p>
    <w:p w14:paraId="2A26A12D">
      <w:pPr>
        <w:spacing w:line="360" w:lineRule="auto"/>
        <w:jc w:val="both"/>
      </w:pPr>
      <w:r>
        <w:rPr>
          <w:rFonts w:ascii="宋体" w:hAnsi="宋体" w:eastAsia="宋体" w:cs="宋体"/>
          <w:b/>
          <w:color w:val="auto"/>
          <w:sz w:val="24"/>
        </w:rPr>
        <w:t>一、选择题：本题共16小题，每小题3分，共48分。在每小题给出的四个选项中，只有一项是符合题目要求的。</w:t>
      </w:r>
    </w:p>
    <w:p w14:paraId="1F46D905">
      <w:pPr>
        <w:spacing w:line="360" w:lineRule="auto"/>
        <w:jc w:val="left"/>
      </w:pPr>
      <w:r>
        <w:rPr>
          <w:color w:val="auto"/>
        </w:rPr>
        <w:t xml:space="preserve">1. </w:t>
      </w:r>
      <w:r>
        <w:rPr>
          <w:rFonts w:ascii="宋体" w:hAnsi="宋体" w:eastAsia="宋体" w:cs="宋体"/>
          <w:color w:val="auto"/>
        </w:rPr>
        <w:t>一百多年来，中国共产党始终坚持把马克思主义写在自己的旗帜上，将马克思主义基本原理与中国具体实际、与中华优秀传统文化相结合，不断推进马克思主义中国化时代化，实现了马克思主义中国化的三次历史性飞跃。对此理解正确的有（   ）</w:t>
      </w:r>
    </w:p>
    <w:p w14:paraId="6322C8BE">
      <w:pPr>
        <w:spacing w:line="360" w:lineRule="auto"/>
        <w:jc w:val="left"/>
      </w:pPr>
      <w:r>
        <w:rPr>
          <w:rFonts w:ascii="宋体" w:hAnsi="宋体" w:eastAsia="宋体" w:cs="宋体"/>
          <w:color w:val="auto"/>
        </w:rPr>
        <w:t>①毛泽东思想是马克思主义中国化的第一次历史性飞跃</w:t>
      </w:r>
    </w:p>
    <w:p w14:paraId="319FA8CA">
      <w:pPr>
        <w:spacing w:line="360" w:lineRule="auto"/>
        <w:jc w:val="left"/>
      </w:pPr>
      <w:r>
        <w:rPr>
          <w:rFonts w:ascii="宋体" w:hAnsi="宋体" w:eastAsia="宋体" w:cs="宋体"/>
          <w:color w:val="auto"/>
        </w:rPr>
        <w:t>②第二次历史性飞跃发生在社会主义革命和建设时期</w:t>
      </w:r>
    </w:p>
    <w:p w14:paraId="6EEBB468">
      <w:pPr>
        <w:spacing w:line="360" w:lineRule="auto"/>
        <w:jc w:val="left"/>
      </w:pPr>
      <w:r>
        <w:rPr>
          <w:rFonts w:ascii="宋体" w:hAnsi="宋体" w:eastAsia="宋体" w:cs="宋体"/>
          <w:color w:val="auto"/>
        </w:rPr>
        <w:t xml:space="preserve">③“十个明确”是第三次历史性飞跃成果的“四梁八柱”   </w:t>
      </w:r>
    </w:p>
    <w:p w14:paraId="01A7FA86">
      <w:pPr>
        <w:spacing w:line="360" w:lineRule="auto"/>
        <w:jc w:val="left"/>
      </w:pPr>
      <w:r>
        <w:rPr>
          <w:rFonts w:ascii="宋体" w:hAnsi="宋体" w:eastAsia="宋体" w:cs="宋体"/>
          <w:color w:val="auto"/>
        </w:rPr>
        <w:t>④推进马克思主义中国化时代化始终是党的中心任务</w:t>
      </w:r>
    </w:p>
    <w:p w14:paraId="7FA77C2C"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t xml:space="preserve">A. </w:t>
      </w:r>
      <w:r>
        <w:rPr>
          <w:rFonts w:ascii="宋体" w:hAnsi="宋体" w:eastAsia="宋体" w:cs="宋体"/>
          <w:color w:val="auto"/>
        </w:rPr>
        <w:t>①③</w:t>
      </w:r>
      <w:r>
        <w:tab/>
      </w:r>
      <w:r>
        <w:t xml:space="preserve">B. </w:t>
      </w:r>
      <w:r>
        <w:rPr>
          <w:rFonts w:ascii="宋体" w:hAnsi="宋体" w:eastAsia="宋体" w:cs="宋体"/>
          <w:color w:val="auto"/>
        </w:rPr>
        <w:t>②④</w:t>
      </w:r>
      <w:r>
        <w:tab/>
      </w:r>
      <w:r>
        <w:t xml:space="preserve">C. </w:t>
      </w:r>
      <w:r>
        <w:rPr>
          <w:rFonts w:ascii="宋体" w:hAnsi="宋体" w:eastAsia="宋体" w:cs="宋体"/>
          <w:color w:val="auto"/>
        </w:rPr>
        <w:t>①②</w:t>
      </w:r>
      <w:r>
        <w:tab/>
      </w:r>
      <w:r>
        <w:t xml:space="preserve">D. </w:t>
      </w:r>
      <w:r>
        <w:rPr>
          <w:rFonts w:ascii="宋体" w:hAnsi="宋体" w:eastAsia="宋体" w:cs="宋体"/>
          <w:color w:val="auto"/>
        </w:rPr>
        <w:t>③④</w:t>
      </w:r>
    </w:p>
    <w:p w14:paraId="6EC4224F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2. </w:t>
      </w:r>
      <w:r>
        <w:rPr>
          <w:rFonts w:ascii="宋体" w:hAnsi="宋体" w:eastAsia="宋体" w:cs="宋体"/>
          <w:color w:val="000000"/>
        </w:rPr>
        <w:t>2024年4月26日，神舟十七号航天员乘组顺利打开“家门”，欢迎远道而来的神舟十八号航天员乘组入驻“天宫”。在当代中国，我们要始终高举中国特色社会主义伟大旗帜，坚定道路自信、理论自信、制度自信、文化自信。我国载人航天成绩举世瞩目，主要得益于（   ）</w:t>
      </w:r>
    </w:p>
    <w:p w14:paraId="208C2975"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①坚定不移走中国特色自主创新的航天发展之路——坚定道路自信</w:t>
      </w:r>
    </w:p>
    <w:p w14:paraId="3112FE52"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②—代代的航天人传承和弘扬中国载人航天精神——坚定理论自信</w:t>
      </w:r>
    </w:p>
    <w:p w14:paraId="3603AF3F"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③党的领导和新型举国体制政治优势是制度保障——坚定制度自信</w:t>
      </w:r>
    </w:p>
    <w:p w14:paraId="76576D04"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④以习近平新时代中国特色社会主义思想为指导——坚定文化自信</w:t>
      </w:r>
    </w:p>
    <w:p w14:paraId="6A73D842"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①②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①③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②④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③④</w:t>
      </w:r>
    </w:p>
    <w:p w14:paraId="5A2EC376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3. </w:t>
      </w:r>
      <w:r>
        <w:rPr>
          <w:rFonts w:ascii="宋体" w:hAnsi="宋体" w:eastAsia="宋体" w:cs="宋体"/>
          <w:color w:val="000000"/>
        </w:rPr>
        <w:t>民营经济是推进中国式现代化的生力军，是高质量发展的重要基础。2023年7月，中共中央和国务院出台了《关于促进民营经济发展壮大的意见》。下列举措对促进民营经济发展壮大的传导效应合理的有（   ）</w:t>
      </w:r>
    </w:p>
    <w:p w14:paraId="17464C80"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①落实公平竞争政策→发挥各种所有制经济长处→调动不同经济主体积极性</w:t>
      </w:r>
    </w:p>
    <w:p w14:paraId="67E4DB6C"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②破除市场准入壁垒→全面取消市场准入限制→快速激发民营经济发展活力</w:t>
      </w:r>
    </w:p>
    <w:p w14:paraId="003BB20C"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③培养和弘扬企业家精神→提高生产技术水平和研发能力→规避企业经营风险</w:t>
      </w:r>
    </w:p>
    <w:p w14:paraId="15A405A4"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④完善融资支持政策→支持民营企业在债券市场融资→拓宽民营经济资金渠道</w:t>
      </w:r>
    </w:p>
    <w:p w14:paraId="7186AE58"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①②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①④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②③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③④</w:t>
      </w:r>
    </w:p>
    <w:p w14:paraId="39ABDAB5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4. </w:t>
      </w:r>
      <w:r>
        <w:rPr>
          <w:rFonts w:ascii="宋体" w:hAnsi="宋体" w:eastAsia="宋体" w:cs="宋体"/>
          <w:color w:val="000000"/>
        </w:rPr>
        <w:t>近期，一种叫做“蜡瓶糖”的零食在学校周边卖得火爆，许多店家却不能提供如生产日期、保质期及生产厂家等完整的产品信息，孩子们跟风购买食用该零食，存在很大风险。各地市场监管局开展了“蜡瓶糖”等网红零食食品安全排查整治专项行动。相关部门的举措旨在（   ）</w:t>
      </w:r>
    </w:p>
    <w:p w14:paraId="7FFC393D"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①优化公共服务，弥补食品市场的自发性</w:t>
      </w:r>
    </w:p>
    <w:p w14:paraId="5A3D8D9A"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②履行法定职责，推进食品行业市场监管</w:t>
      </w:r>
    </w:p>
    <w:p w14:paraId="1747C935"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③引导企业合法经营，维护人民群众利益</w:t>
      </w:r>
    </w:p>
    <w:p w14:paraId="2F6B96BF"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④规范食品市场秩序，营造良好消费环境</w:t>
      </w:r>
    </w:p>
    <w:p w14:paraId="4AE27E1D"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①②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①③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②④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③④</w:t>
      </w:r>
    </w:p>
    <w:p w14:paraId="6A67F31F"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t xml:space="preserve">5. </w:t>
      </w:r>
      <w:r>
        <w:rPr>
          <w:rFonts w:ascii="宋体" w:hAnsi="宋体" w:eastAsia="宋体" w:cs="宋体"/>
          <w:color w:val="000000"/>
        </w:rPr>
        <w:t>2023年9月1日，十四届全国人大常委会第五次会议审议通过新修订的《中华人民共和国行政复议法》。修订后的行政复议法将行政机关作出的有关赔偿决定、有关工伤受理认定决定、政府特许经营协议、土地房屋征收补偿协议等纳入行政复议范围；同时规定，符合条件的行政复议申请人可以申请法律援助等。行政复议法的修订有利于（    ）</w:t>
      </w:r>
    </w:p>
    <w:p w14:paraId="2C43034F">
      <w:pPr>
        <w:spacing w:line="360" w:lineRule="auto"/>
        <w:jc w:val="both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①妥善化解各种社会矛盾，维护社会公平正义</w:t>
      </w:r>
    </w:p>
    <w:p w14:paraId="6488E18A">
      <w:pPr>
        <w:spacing w:line="360" w:lineRule="auto"/>
        <w:jc w:val="both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②推进法治国家、法治政府、法治社会一体建设</w:t>
      </w:r>
    </w:p>
    <w:p w14:paraId="5CAC4413">
      <w:pPr>
        <w:spacing w:line="360" w:lineRule="auto"/>
        <w:jc w:val="both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③加强对行政执法的监督，促使行政机关依法行使职权</w:t>
      </w:r>
    </w:p>
    <w:p w14:paraId="45F89252">
      <w:pPr>
        <w:spacing w:line="360" w:lineRule="auto"/>
        <w:jc w:val="both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④强化公民和社会的监督，建立多元化纠纷解决机制</w:t>
      </w:r>
    </w:p>
    <w:p w14:paraId="2F38308A"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①②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①④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②③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③④</w:t>
      </w:r>
    </w:p>
    <w:p w14:paraId="452554B9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6. </w:t>
      </w:r>
      <w:r>
        <w:rPr>
          <w:rFonts w:ascii="宋体" w:hAnsi="宋体" w:eastAsia="宋体" w:cs="宋体"/>
          <w:color w:val="000000"/>
        </w:rPr>
        <w:t>某镇人大代表联络站提炼总结出“</w:t>
      </w:r>
      <w:r>
        <w:rPr>
          <w:rFonts w:ascii="Times New Roman" w:hAnsi="Times New Roman" w:eastAsia="Times New Roman" w:cs="Times New Roman"/>
          <w:color w:val="000000"/>
        </w:rPr>
        <w:t>356+T</w:t>
      </w:r>
      <w:r>
        <w:rPr>
          <w:rFonts w:ascii="宋体" w:hAnsi="宋体" w:eastAsia="宋体" w:cs="宋体"/>
          <w:color w:val="000000"/>
        </w:rPr>
        <w:t>”工作法（“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室融合”“</w:t>
      </w:r>
      <w:r>
        <w:rPr>
          <w:rFonts w:ascii="Times New Roman" w:hAnsi="Times New Roman" w:eastAsia="Times New Roman" w:cs="Times New Roman"/>
          <w:color w:val="000000"/>
        </w:rPr>
        <w:t>5</w:t>
      </w:r>
      <w:r>
        <w:rPr>
          <w:rFonts w:ascii="宋体" w:hAnsi="宋体" w:eastAsia="宋体" w:cs="宋体"/>
          <w:color w:val="000000"/>
        </w:rPr>
        <w:t>站叠加”“</w:t>
      </w:r>
      <w:r>
        <w:rPr>
          <w:rFonts w:ascii="Times New Roman" w:hAnsi="Times New Roman" w:eastAsia="Times New Roman" w:cs="Times New Roman"/>
          <w:color w:val="000000"/>
        </w:rPr>
        <w:t>6</w:t>
      </w:r>
      <w:r>
        <w:rPr>
          <w:rFonts w:ascii="宋体" w:hAnsi="宋体" w:eastAsia="宋体" w:cs="宋体"/>
          <w:color w:val="000000"/>
        </w:rPr>
        <w:t>措并举”“</w:t>
      </w:r>
      <w:r>
        <w:rPr>
          <w:rFonts w:ascii="Times New Roman" w:hAnsi="Times New Roman" w:eastAsia="Times New Roman" w:cs="Times New Roman"/>
          <w:color w:val="000000"/>
        </w:rPr>
        <w:t>T</w:t>
      </w:r>
      <w:r>
        <w:rPr>
          <w:rFonts w:ascii="宋体" w:hAnsi="宋体" w:eastAsia="宋体" w:cs="宋体"/>
          <w:color w:val="000000"/>
        </w:rPr>
        <w:t>项特色工作”），开展“选民直通车暨每月</w:t>
      </w:r>
      <w:r>
        <w:rPr>
          <w:rFonts w:ascii="Times New Roman" w:hAnsi="Times New Roman" w:eastAsia="Times New Roman" w:cs="Times New Roman"/>
          <w:color w:val="000000"/>
        </w:rPr>
        <w:t>15</w:t>
      </w:r>
      <w:r>
        <w:rPr>
          <w:rFonts w:ascii="宋体" w:hAnsi="宋体" w:eastAsia="宋体" w:cs="宋体"/>
          <w:color w:val="000000"/>
        </w:rPr>
        <w:t>日代表进站”“聚民意、惠民生、促发展，人大代表在行动”等六项基层工作，以及“代表进网格，网格有代表”“三问强监督”等</w:t>
      </w:r>
      <w:r>
        <w:rPr>
          <w:rFonts w:ascii="Times New Roman" w:hAnsi="Times New Roman" w:eastAsia="Times New Roman" w:cs="Times New Roman"/>
          <w:color w:val="000000"/>
        </w:rPr>
        <w:t>T</w:t>
      </w:r>
      <w:r>
        <w:rPr>
          <w:rFonts w:ascii="宋体" w:hAnsi="宋体" w:eastAsia="宋体" w:cs="宋体"/>
          <w:color w:val="000000"/>
        </w:rPr>
        <w:t>项特色工作。该镇人大代表联络站的上述举措（</w:t>
      </w:r>
      <w:r>
        <w:rPr>
          <w:rFonts w:ascii="Times New Roman" w:hAnsi="Times New Roman" w:eastAsia="Times New Roman" w:cs="Times New Roman"/>
          <w:color w:val="000000"/>
        </w:rPr>
        <w:t xml:space="preserve">   </w:t>
      </w:r>
      <w:r>
        <w:rPr>
          <w:rFonts w:ascii="宋体" w:hAnsi="宋体" w:eastAsia="宋体" w:cs="宋体"/>
          <w:color w:val="000000"/>
        </w:rPr>
        <w:t>）</w:t>
      </w:r>
    </w:p>
    <w:p w14:paraId="2F9D335D"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①密切了人大代表与人民群众的联系</w:t>
      </w:r>
      <w:r>
        <w:rPr>
          <w:rFonts w:ascii="Times New Roman" w:hAnsi="Times New Roman" w:eastAsia="Times New Roman" w:cs="Times New Roman"/>
          <w:color w:val="000000"/>
        </w:rPr>
        <w:t xml:space="preserve">   </w:t>
      </w:r>
    </w:p>
    <w:p w14:paraId="1E1B652F"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②是践行全过程人民民主的生动实践</w:t>
      </w:r>
    </w:p>
    <w:p w14:paraId="219CD8FB"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③便于人大代表在基层行使国家权力</w:t>
      </w:r>
      <w:r>
        <w:rPr>
          <w:rFonts w:ascii="Times New Roman" w:hAnsi="Times New Roman" w:eastAsia="Times New Roman" w:cs="Times New Roman"/>
          <w:color w:val="000000"/>
        </w:rPr>
        <w:t xml:space="preserve">   </w:t>
      </w:r>
    </w:p>
    <w:p w14:paraId="09F367AE"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④扩大了人大代表依法履职的范围</w:t>
      </w:r>
    </w:p>
    <w:p w14:paraId="34287B44"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①②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①④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②③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③④</w:t>
      </w:r>
    </w:p>
    <w:p w14:paraId="109FFDA5"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t xml:space="preserve">7. </w:t>
      </w:r>
      <w:r>
        <w:rPr>
          <w:rFonts w:ascii="宋体" w:hAnsi="宋体" w:eastAsia="宋体" w:cs="宋体"/>
          <w:color w:val="000000"/>
        </w:rPr>
        <w:t>为了建立健全应急管理行政裁量权基准制度，规范行使行政裁量权，保障应急管理法律法规有效实施，保护公民、法人和其他组织的合法权益，根据《中华人民共和国行政处罚法》《中华人民共和国行政许可法》等法律法规和有关规定，应急管理部制定了《应急管理行政裁量权基准暂行规定》(以下简称《规定》)，《规定》自2024年1月1日起施行。应急管理部规范行政裁量权的行使旨在（   ）</w:t>
      </w:r>
    </w:p>
    <w:p w14:paraId="5B6AD98C">
      <w:pPr>
        <w:spacing w:line="360" w:lineRule="auto"/>
        <w:jc w:val="both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①加大关系群众切身利益的重点领域的执法力度</w:t>
      </w:r>
    </w:p>
    <w:p w14:paraId="70DC80F6">
      <w:pPr>
        <w:spacing w:line="360" w:lineRule="auto"/>
        <w:jc w:val="both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②督促行政执法部门更好地行使权力和履行职责</w:t>
      </w:r>
      <w:r>
        <w:rPr>
          <w:color w:val="000000"/>
        </w:rPr>
        <w:t xml:space="preserve">    </w:t>
      </w:r>
    </w:p>
    <w:p w14:paraId="1B7D1D8E">
      <w:pPr>
        <w:spacing w:line="360" w:lineRule="auto"/>
        <w:jc w:val="both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 xml:space="preserve">③推进应急管理行政执法裁量的规范化、标准化 </w:t>
      </w:r>
    </w:p>
    <w:p w14:paraId="5CFBF6D6">
      <w:pPr>
        <w:spacing w:line="360" w:lineRule="auto"/>
        <w:jc w:val="both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④以事实为根据、以法律为准绳推进公正司法</w:t>
      </w:r>
    </w:p>
    <w:p w14:paraId="6F774115"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①②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①④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②③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③④</w:t>
      </w:r>
    </w:p>
    <w:p w14:paraId="77258408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8. </w:t>
      </w:r>
      <w:r>
        <w:rPr>
          <w:rFonts w:ascii="宋体" w:hAnsi="宋体" w:eastAsia="宋体" w:cs="宋体"/>
          <w:color w:val="000000"/>
        </w:rPr>
        <w:t>2021年“十四五”规划和2035年远景目标纲要正式公布。纲要明确指出，按照“小步调整、弹性实施、分类推进、统筹兼顾”等原则，逐步延迟法定退休年龄。至此，讨论多年的延迟退休终于有了明确的时间表。下列原则与哲理对应正确的是（  ）</w:t>
      </w:r>
    </w:p>
    <w:p w14:paraId="4882C46F"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①小步调整——重视量的积累</w:t>
      </w:r>
    </w:p>
    <w:p w14:paraId="645ED462"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②弹性实施——尊重客观规律，坚持一切从实际出发</w:t>
      </w:r>
    </w:p>
    <w:p w14:paraId="552916B3"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③分类推进——追求真理要坚持与时俱进、开拓创新</w:t>
      </w:r>
    </w:p>
    <w:p w14:paraId="3D7FC031"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④统筹兼顾——坚持两点论和重点论的统一</w:t>
      </w:r>
    </w:p>
    <w:p w14:paraId="4485102B"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①②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②④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①③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③④</w:t>
      </w:r>
    </w:p>
    <w:p w14:paraId="0C5DD50C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9. </w:t>
      </w:r>
      <w:r>
        <w:rPr>
          <w:rFonts w:ascii="宋体" w:hAnsi="宋体" w:eastAsia="宋体" w:cs="宋体"/>
          <w:color w:val="000000"/>
        </w:rPr>
        <w:t>第33届法国巴黎奥林匹克运动会于8月11日闭幕，在巴黎奥运会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3810" b="4445"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聚光灯下，中国“00后”运动员成为中国年轻一代的鲜活力量，在赛场上，他们以满怀对祖国和人民的赤子之心，为国争光。这启示我们（   ）</w:t>
      </w:r>
    </w:p>
    <w:p w14:paraId="31925849"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①树立正确价值观是实现人生价值的重要前提</w:t>
      </w:r>
    </w:p>
    <w:p w14:paraId="56C9774F"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②价值观对青年人生道路的选择具有促进作用</w:t>
      </w:r>
    </w:p>
    <w:p w14:paraId="57DB78D2"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③发展个性、完善自我是青年的最高价值追求</w:t>
      </w:r>
    </w:p>
    <w:p w14:paraId="4E8C476E"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④以坚守人民立场作为正确价值选择的根本立足点</w:t>
      </w:r>
    </w:p>
    <w:p w14:paraId="297607D0"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①②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①④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②③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③④</w:t>
      </w:r>
    </w:p>
    <w:p w14:paraId="791317E7"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t xml:space="preserve">10. </w:t>
      </w:r>
      <w:r>
        <w:rPr>
          <w:rFonts w:ascii="宋体" w:hAnsi="宋体" w:eastAsia="宋体" w:cs="宋体"/>
          <w:color w:val="000000"/>
        </w:rPr>
        <w:t>下列诗句蕴含的哲学道理与下图漫画《志高没难事，火大没湿柴》（作者：王家春）寓意相近的是（   ）</w:t>
      </w:r>
    </w:p>
    <w:p w14:paraId="5CFFE5AB"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2476500" cy="2457450"/>
            <wp:effectExtent l="0" t="0" r="7620" b="11430"/>
            <wp:docPr id="100003" name="图片 10000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476500" cy="2457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5D97A7B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人间四月芳菲尽，山寺桃花始盛开</w:t>
      </w:r>
    </w:p>
    <w:p w14:paraId="677BA080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横看成岭侧成峰，远近高低各不同</w:t>
      </w:r>
    </w:p>
    <w:p w14:paraId="2BAFDBC1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长风破浪会有时，直挂云帆济沧海</w:t>
      </w:r>
    </w:p>
    <w:p w14:paraId="484041EB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纸上得来终觉浅，绝知此事要躬行</w:t>
      </w:r>
    </w:p>
    <w:p w14:paraId="40C77EF5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11. </w:t>
      </w:r>
      <w:r>
        <w:rPr>
          <w:rFonts w:ascii="宋体" w:hAnsi="宋体" w:eastAsia="宋体" w:cs="宋体"/>
          <w:color w:val="000000"/>
        </w:rPr>
        <w:t>2024年，中法建交步入甲子之年。中法同为文化大国，两种文明虽远隔万里，却始终彼此欣赏、相互借鉴。“2024中法文化旅游年”贯穿了文化遗产、旅游推广等多个领域的数百项精彩合作项目。中法两国文化交流（   ）</w:t>
      </w:r>
    </w:p>
    <w:p w14:paraId="6B5539D8"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①有助于深化两国间情谊，推动双边关系发展</w:t>
      </w:r>
    </w:p>
    <w:p w14:paraId="0B6E74AE"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②有助于增强中法两国人民对彼此文化的认同</w:t>
      </w:r>
    </w:p>
    <w:p w14:paraId="047E402F"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③有助于求同化异，消除两国文化的差异隔阂</w:t>
      </w:r>
    </w:p>
    <w:p w14:paraId="41896646"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④有助于展现文化多样性，繁荣发展世界文化</w:t>
      </w:r>
    </w:p>
    <w:p w14:paraId="71A1EA09"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A</w:t>
      </w:r>
      <w:r>
        <w:rPr>
          <w:color w:val="000000"/>
          <w:position w:val="-22"/>
        </w:rPr>
        <w:drawing>
          <wp:inline distT="0" distB="0" distL="114300" distR="114300">
            <wp:extent cx="31750" cy="88900"/>
            <wp:effectExtent l="0" t="0" r="0" b="0"/>
            <wp:docPr id="100011" name="图片 100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1750" cy="8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 </w:t>
      </w:r>
      <w:r>
        <w:rPr>
          <w:rFonts w:ascii="宋体" w:hAnsi="宋体" w:eastAsia="宋体" w:cs="宋体"/>
          <w:color w:val="000000"/>
        </w:rPr>
        <w:t>①②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①④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②③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③④</w:t>
      </w:r>
    </w:p>
    <w:p w14:paraId="670ED3F1"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t xml:space="preserve">12. </w:t>
      </w:r>
      <w:r>
        <w:rPr>
          <w:rFonts w:ascii="宋体" w:hAnsi="宋体" w:eastAsia="宋体" w:cs="宋体"/>
          <w:color w:val="000000"/>
        </w:rPr>
        <w:t>马面裙是中国古代一种传统服饰，因形似古代城墙防御建筑“马面”而得名。新式马面裙添加了复古提花松紧腰带，融入了现代的设计与裁剪，款式简约百搭，成为年轻人的龙年“战袍”。渐成时尚的新式马面裙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 w14:paraId="5841B0B5"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952500" cy="1809750"/>
            <wp:effectExtent l="0" t="0" r="7620" b="3810"/>
            <wp:docPr id="100005" name="图片 10000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1809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6837EFD">
      <w:pPr>
        <w:spacing w:line="360" w:lineRule="auto"/>
        <w:jc w:val="both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①反映年轻人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3810" b="4445"/>
            <wp:docPr id="100015" name="图片 100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图片 100015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民族文化认同，彰显了中华民族文化主体性</w:t>
      </w:r>
    </w:p>
    <w:p w14:paraId="5559E507">
      <w:pPr>
        <w:spacing w:line="360" w:lineRule="auto"/>
        <w:jc w:val="both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②符合社会发展要求，满足了人们的基本文化需求</w:t>
      </w:r>
    </w:p>
    <w:p w14:paraId="7C3D5AEF">
      <w:pPr>
        <w:spacing w:line="360" w:lineRule="auto"/>
        <w:jc w:val="both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③拓展传统服饰文化的多样性，显示了中华文化的包容性</w:t>
      </w:r>
    </w:p>
    <w:p w14:paraId="69A7E3A7">
      <w:pPr>
        <w:spacing w:line="360" w:lineRule="auto"/>
        <w:jc w:val="both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④融合现代艺术理念和传统文化元素，展现了民族文化新面貌</w:t>
      </w:r>
    </w:p>
    <w:p w14:paraId="516F5A62"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①③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①④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②③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②④</w:t>
      </w:r>
    </w:p>
    <w:p w14:paraId="42B2CF6D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13. </w:t>
      </w:r>
      <w:r>
        <w:rPr>
          <w:rFonts w:ascii="宋体" w:hAnsi="宋体" w:eastAsia="宋体" w:cs="宋体"/>
          <w:color w:val="000000"/>
        </w:rPr>
        <w:t>2024年5月5日至10日，习近平主席应邀对法国、塞尔维亚、匈牙利三国进行国事访问，此访推动中法关系承前启后、继往开来，开启构建新时代中塞命运共同体新征程，宣布将中匈关系提升为新时代全天候全面战略伙伴关系。习主席访问三国对于推动中欧关系整体发展具有重要战略意义。这表明（   ）</w:t>
      </w:r>
    </w:p>
    <w:p w14:paraId="0140C2F7"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①我国在独立自主的立场上推动中欧关系稳定健康发展</w:t>
      </w:r>
    </w:p>
    <w:p w14:paraId="5EA59B0F"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②中欧立足共同利益的基础上增进战略互信，加强战略协作</w:t>
      </w:r>
    </w:p>
    <w:p w14:paraId="1A7F0628"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③中欧践行真正的多边主义，反对霸权主义和强权政治</w:t>
      </w:r>
    </w:p>
    <w:p w14:paraId="02DF1A92"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④中欧顺应时代发展潮流与趋势，促进世界和平与发展</w:t>
      </w:r>
    </w:p>
    <w:p w14:paraId="152BC6FD"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①②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①④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②③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③④</w:t>
      </w:r>
    </w:p>
    <w:p w14:paraId="00592585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14. </w:t>
      </w:r>
      <w:r>
        <w:rPr>
          <w:rFonts w:ascii="宋体" w:hAnsi="宋体" w:eastAsia="宋体" w:cs="宋体"/>
          <w:color w:val="000000"/>
        </w:rPr>
        <w:t>为了让思政课堂灵动起来，济南市某中学开展了以“人格权纠纷”为主题的模拟法庭活动，审判长、审判员、书记员、法定代理人、原告人、被告人等均由学生组成，使学生更加直观地了解审判过程。通过这次活动，学生可以学习到（   ）</w:t>
      </w:r>
    </w:p>
    <w:p w14:paraId="073D8C3A"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①本案件的诉讼可以实行“不告不理”的原则</w:t>
      </w:r>
    </w:p>
    <w:p w14:paraId="1157DA6B"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②开庭审理是民事诉讼过程当中最重要的环节</w:t>
      </w:r>
    </w:p>
    <w:p w14:paraId="39A4B97B"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③在法庭辩论阶段，当事人要对自己的主张提供证据</w:t>
      </w:r>
    </w:p>
    <w:p w14:paraId="31E41899"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④一审结束后，当事人不服裁判的，可立即申请再审</w:t>
      </w:r>
    </w:p>
    <w:p w14:paraId="16CB395D"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①②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①③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②④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③④</w:t>
      </w:r>
    </w:p>
    <w:p w14:paraId="247C0B98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15. </w:t>
      </w:r>
      <w:r>
        <w:rPr>
          <w:rFonts w:ascii="宋体" w:hAnsi="宋体" w:eastAsia="宋体" w:cs="宋体"/>
          <w:color w:val="000000"/>
        </w:rPr>
        <w:t>王某与韩某系合法夫妻。王某由于患有疾病，不仅不能外出工作，还需长期吃药。韩某每月工资7000多元，勉强可以承担起一家的日常开销。由于王某的医药费用过于高昂，长此以往，韩某难以承受如此大的压力，与王某产生了激烈矛盾，决定不再为王某承担医药费，此后对王某置之不理。王某只好向法院起诉，要求韩某支付扶养费。下列分析正确的是（   ）</w:t>
      </w:r>
    </w:p>
    <w:p w14:paraId="6D7B468B"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①夫妻间有相互扶养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3810" b="4445"/>
            <wp:docPr id="100013" name="图片 100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义务，法院会支持王某的诉求</w:t>
      </w:r>
    </w:p>
    <w:p w14:paraId="30EF4B1A"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②夫妻双方感情确已破裂，一方有权停止履行夫妻义务</w:t>
      </w:r>
    </w:p>
    <w:p w14:paraId="07961E1C"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③韩某的行为属于故意遗弃，必须承担相应法律责任</w:t>
      </w:r>
    </w:p>
    <w:p w14:paraId="7625F07A"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④王某和韩某的婚姻无效，法院会判定韩某无须支付扶养费</w:t>
      </w:r>
    </w:p>
    <w:p w14:paraId="6A395120"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①②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①③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②④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③④</w:t>
      </w:r>
    </w:p>
    <w:p w14:paraId="1C27BA3F"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t xml:space="preserve">16. </w:t>
      </w:r>
      <w:r>
        <w:rPr>
          <w:rFonts w:ascii="宋体" w:hAnsi="宋体" w:eastAsia="宋体" w:cs="宋体"/>
          <w:color w:val="000000"/>
        </w:rPr>
        <w:t>为了使表达更为适当和灵活，我们常常对一些性质判断的形式结构进行变换。下面关于性质判断的换质或换位推理对应正确的有（   ）</w:t>
      </w:r>
    </w:p>
    <w:p w14:paraId="69578441">
      <w:pPr>
        <w:spacing w:line="360" w:lineRule="auto"/>
        <w:jc w:val="both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①真金是不怕火炼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3810" b="4445"/>
            <wp:docPr id="100007" name="图片 1000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，所以，怕火炼的不是真金（换质推理）</w:t>
      </w:r>
    </w:p>
    <w:p w14:paraId="73D58033">
      <w:pPr>
        <w:spacing w:line="360" w:lineRule="auto"/>
        <w:jc w:val="both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②有些中学生是球迷，所以，有些球迷是中学生（换位推理）</w:t>
      </w:r>
    </w:p>
    <w:p w14:paraId="3981810B">
      <w:pPr>
        <w:spacing w:line="360" w:lineRule="auto"/>
        <w:jc w:val="both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③所有无神论者都不是宗教信徒，所以，所有宗教信徒都是有神论者（换位推理）</w:t>
      </w:r>
    </w:p>
    <w:p w14:paraId="4B87EDF3">
      <w:pPr>
        <w:spacing w:line="360" w:lineRule="auto"/>
        <w:jc w:val="both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④死记硬背不是正确的学习方法，所以，死记硬背是不正确的学习方法（换质推理）</w:t>
      </w:r>
    </w:p>
    <w:p w14:paraId="3ABD7DAA"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①②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②④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①③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③④</w:t>
      </w:r>
    </w:p>
    <w:p w14:paraId="66FB7E34">
      <w:pPr>
        <w:spacing w:line="360" w:lineRule="auto"/>
        <w:jc w:val="both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二、非选择题：本大题共4小题，共52分。</w:t>
      </w:r>
    </w:p>
    <w:p w14:paraId="67459BBE"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t xml:space="preserve">17. </w:t>
      </w:r>
      <w:r>
        <w:rPr>
          <w:rFonts w:ascii="宋体" w:hAnsi="宋体" w:eastAsia="宋体" w:cs="宋体"/>
          <w:color w:val="000000"/>
        </w:rPr>
        <w:t>阅读材料,完成下列要求。</w:t>
      </w:r>
    </w:p>
    <w:p w14:paraId="76F68068">
      <w:pPr>
        <w:spacing w:line="360" w:lineRule="auto"/>
        <w:ind w:firstLine="420"/>
        <w:jc w:val="both"/>
        <w:textAlignment w:val="center"/>
        <w:rPr>
          <w:color w:val="000000"/>
        </w:rPr>
      </w:pPr>
      <w:r>
        <w:rPr>
          <w:rFonts w:ascii="楷体" w:hAnsi="楷体" w:eastAsia="楷体" w:cs="楷体"/>
          <w:color w:val="000000"/>
        </w:rPr>
        <w:t>材料一  谨记习近平总书记的重要嘱托，广州在发展的质量、效率、动力方面不断变革，为高质量发展凝聚新动力，推动高质量发展干在实处、走在前列。</w:t>
      </w:r>
    </w:p>
    <w:p w14:paraId="27CA5B70">
      <w:pPr>
        <w:spacing w:line="360" w:lineRule="auto"/>
        <w:ind w:firstLine="420"/>
        <w:jc w:val="both"/>
        <w:textAlignment w:val="center"/>
        <w:rPr>
          <w:color w:val="000000"/>
        </w:rPr>
      </w:pPr>
      <w:r>
        <w:rPr>
          <w:rFonts w:ascii="楷体" w:hAnsi="楷体" w:eastAsia="楷体" w:cs="楷体"/>
          <w:color w:val="000000"/>
        </w:rPr>
        <w:t>广州积极整治“散乱污”企业，组建碳达峰碳中和产业联盟，入选全国首批碳达峰试点城市。打造“湾区硅谷”，推动港科大（广州）科创成果转移转化，人才吸引力、服务大湾区科技创新辐射力不断增强。处理好市场与政府的关系，聚焦制造业立市战略，引导金融资源向科技创新重点领域聚集，全力打造“全国先进制造研发基地”。2024年广州市通过《广州市进一步推动跨境电子商务高质量发展若干政策措施》，对标国际规则与标准，进一步推动广州外贸稳规模优结构，培育外贸竞争新优势。</w:t>
      </w:r>
    </w:p>
    <w:p w14:paraId="558F2F86">
      <w:pPr>
        <w:spacing w:line="360" w:lineRule="auto"/>
        <w:ind w:firstLine="420"/>
        <w:jc w:val="both"/>
        <w:textAlignment w:val="center"/>
        <w:rPr>
          <w:color w:val="000000"/>
        </w:rPr>
      </w:pPr>
      <w:r>
        <w:rPr>
          <w:rFonts w:ascii="楷体" w:hAnsi="楷体" w:eastAsia="楷体" w:cs="楷体"/>
          <w:color w:val="000000"/>
        </w:rPr>
        <w:t>材料二  广州，南中国大地上的一颗璀璨明珠，既是千年商都，更是首批国家历史文化名城，吸引了众多游人。导游小杨自我介绍说：</w:t>
      </w:r>
    </w:p>
    <w:p w14:paraId="5A80EA5C">
      <w:pPr>
        <w:spacing w:line="360" w:lineRule="auto"/>
        <w:ind w:firstLine="420"/>
        <w:jc w:val="both"/>
        <w:textAlignment w:val="center"/>
        <w:rPr>
          <w:color w:val="000000"/>
        </w:rPr>
      </w:pPr>
      <w:r>
        <w:rPr>
          <w:rFonts w:ascii="楷体" w:hAnsi="楷体" w:eastAsia="楷体" w:cs="楷体"/>
          <w:color w:val="000000"/>
        </w:rPr>
        <w:t>“广州人是很潮的（这里的潮特指广州人开放包容、敢为人先、务实创新。）</w:t>
      </w:r>
    </w:p>
    <w:p w14:paraId="7D8EC71F">
      <w:pPr>
        <w:spacing w:line="360" w:lineRule="auto"/>
        <w:ind w:firstLine="420"/>
        <w:jc w:val="both"/>
        <w:textAlignment w:val="center"/>
        <w:rPr>
          <w:color w:val="000000"/>
        </w:rPr>
      </w:pPr>
      <w:r>
        <w:rPr>
          <w:rFonts w:ascii="楷体" w:hAnsi="楷体" w:eastAsia="楷体" w:cs="楷体"/>
          <w:color w:val="000000"/>
        </w:rPr>
        <w:t>我是广州人，</w:t>
      </w:r>
    </w:p>
    <w:p w14:paraId="63A21E84">
      <w:pPr>
        <w:spacing w:line="360" w:lineRule="auto"/>
        <w:ind w:firstLine="420"/>
        <w:jc w:val="both"/>
        <w:textAlignment w:val="center"/>
        <w:rPr>
          <w:color w:val="000000"/>
        </w:rPr>
      </w:pPr>
      <w:r>
        <w:rPr>
          <w:rFonts w:ascii="楷体" w:hAnsi="楷体" w:eastAsia="楷体" w:cs="楷体"/>
          <w:color w:val="000000"/>
        </w:rPr>
        <w:t>所以，我也是很潮的。”</w:t>
      </w:r>
    </w:p>
    <w:p w14:paraId="52638D5A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结合材料一，运用《经济与社会》的知识，分析广州是如何凝聚高质量发展新动力的。</w:t>
      </w:r>
    </w:p>
    <w:p w14:paraId="411FE08C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导游小杨的三段论推理结构成立吗？结合材料二，运用《逻辑与思维》的知识加以说明。</w:t>
      </w:r>
    </w:p>
    <w:p w14:paraId="4EDD49EC"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t xml:space="preserve">18. </w:t>
      </w:r>
      <w:r>
        <w:rPr>
          <w:rFonts w:ascii="宋体" w:hAnsi="宋体" w:eastAsia="宋体" w:cs="宋体"/>
          <w:color w:val="000000"/>
        </w:rPr>
        <w:t>阅读材料，完成下列要求。</w:t>
      </w:r>
    </w:p>
    <w:p w14:paraId="62608C21">
      <w:pPr>
        <w:spacing w:line="360" w:lineRule="auto"/>
        <w:ind w:firstLine="420"/>
        <w:jc w:val="both"/>
        <w:textAlignment w:val="center"/>
        <w:rPr>
          <w:color w:val="000000"/>
        </w:rPr>
      </w:pPr>
      <w:r>
        <w:rPr>
          <w:rFonts w:ascii="楷体" w:hAnsi="楷体" w:eastAsia="楷体" w:cs="楷体"/>
          <w:color w:val="000000"/>
        </w:rPr>
        <w:t>2023年2月1日，比亚迪正式向日本境内销售第一款电动汽车SUV-ATTO3；蔚来汽车宣布在匈牙利建设首个海外工厂</w:t>
      </w:r>
      <w:r>
        <w:rPr>
          <w:rFonts w:ascii="MS Mincho" w:hAnsi="MS Mincho" w:eastAsia="MS Mincho" w:cs="MS Mincho"/>
          <w:color w:val="000000"/>
        </w:rPr>
        <w:t>⋯⋯</w:t>
      </w:r>
      <w:r>
        <w:rPr>
          <w:rFonts w:ascii="楷体" w:hAnsi="楷体" w:eastAsia="楷体" w:cs="楷体"/>
          <w:color w:val="000000"/>
        </w:rPr>
        <w:t>得益于我国新能源整车技术实力(续航、能耗、智能化应用等)的提升和外部环境所提供的机遇(欧洲多国加大对新能源汽车的补贴力度)，中国新能源车企正加速“出海”。尽管如此，“海上既有风景，也有风浪”，过去中国传统燃油车企由于竞争力不足和配套服务跟不上，只想打开市场，不能给当地创造就业，导致海外出口遇到“坑”，最终拉低品牌在海外的形象和口碑。因此，新能源车企如何真正实现全球化，仍需不懈求索。</w:t>
      </w:r>
    </w:p>
    <w:p w14:paraId="7A6F6D50">
      <w:pPr>
        <w:spacing w:line="360" w:lineRule="auto"/>
        <w:jc w:val="both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结合材料，运用《当代国际政治与经济》的有关知识，为新时代我国外向型企业真正实现全球化提出合理建议。</w:t>
      </w:r>
    </w:p>
    <w:p w14:paraId="1D86C821"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t xml:space="preserve">19. </w:t>
      </w:r>
      <w:r>
        <w:rPr>
          <w:rFonts w:ascii="宋体" w:hAnsi="宋体" w:eastAsia="宋体" w:cs="宋体"/>
          <w:color w:val="000000"/>
        </w:rPr>
        <w:t>阅读材料,完成下列要求。</w:t>
      </w:r>
    </w:p>
    <w:p w14:paraId="080E9440">
      <w:pPr>
        <w:spacing w:line="360" w:lineRule="auto"/>
        <w:ind w:firstLine="420"/>
        <w:jc w:val="both"/>
        <w:textAlignment w:val="center"/>
        <w:rPr>
          <w:color w:val="000000"/>
        </w:rPr>
      </w:pPr>
      <w:r>
        <w:rPr>
          <w:rFonts w:ascii="楷体" w:hAnsi="楷体" w:eastAsia="楷体" w:cs="楷体"/>
          <w:color w:val="000000"/>
        </w:rPr>
        <w:t>建设宜居宜业和美乡村，是全面建设社会主义现代化国家的基础工程。</w:t>
      </w:r>
    </w:p>
    <w:p w14:paraId="1A640C77">
      <w:pPr>
        <w:spacing w:line="360" w:lineRule="auto"/>
        <w:ind w:firstLine="420"/>
        <w:jc w:val="both"/>
        <w:textAlignment w:val="center"/>
        <w:rPr>
          <w:color w:val="000000"/>
        </w:rPr>
      </w:pPr>
      <w:r>
        <w:rPr>
          <w:rFonts w:ascii="楷体" w:hAnsi="楷体" w:eastAsia="楷体" w:cs="楷体"/>
          <w:color w:val="000000"/>
        </w:rPr>
        <w:t>材料一  H村坚持以党建为引领，充分发挥党员在乡风建设中示范效应；通过召开村民大会，广泛征集村民意见与建议，完善村规民约，重大事项及时向村民公开；打造道德教育基地，营造崇德向善的和谐氛围；深入开展普法宣传活动，不断推进法治乡村建设；全面推进乡村振兴数字服务平台建设，促进农村基层治理和基层服务走向高效化、精细化、数字化。</w:t>
      </w:r>
    </w:p>
    <w:p w14:paraId="355B9962">
      <w:pPr>
        <w:spacing w:line="360" w:lineRule="auto"/>
        <w:ind w:firstLine="420"/>
        <w:jc w:val="both"/>
        <w:textAlignment w:val="center"/>
        <w:rPr>
          <w:color w:val="000000"/>
        </w:rPr>
      </w:pPr>
      <w:r>
        <w:rPr>
          <w:rFonts w:ascii="楷体" w:hAnsi="楷体" w:eastAsia="楷体" w:cs="楷体"/>
          <w:color w:val="000000"/>
        </w:rPr>
        <w:t>H村不断加强乡风文明和乡村治理建设，人民生活环境明显改善，生活水平显著提高，成为宜居宜业和美乡村示范村，入选全省“百千万工程”典型村。</w:t>
      </w:r>
    </w:p>
    <w:p w14:paraId="2BB2EE41">
      <w:pPr>
        <w:spacing w:line="360" w:lineRule="auto"/>
        <w:ind w:firstLine="420"/>
        <w:jc w:val="both"/>
        <w:textAlignment w:val="center"/>
        <w:rPr>
          <w:color w:val="000000"/>
        </w:rPr>
      </w:pPr>
      <w:r>
        <w:rPr>
          <w:rFonts w:ascii="楷体" w:hAnsi="楷体" w:eastAsia="楷体" w:cs="楷体"/>
          <w:color w:val="000000"/>
        </w:rPr>
        <w:t>材料二  生态文明建设是关系中华民族永续发展的根本大计。某化工厂将没有达到排放标准的废水排放到泄洪道中。3月,天降暴雨,这些废水残留物被大雨冲刷并流入张某鱼塘中,导致张某的1万多条鱼死亡。于是,张某将化工厂诉至人民法院,要求化工厂赔偿10万元,化工厂以张某证据不足为由拒绝赔偿。而后张某在朋友圈发文讨伐化工厂,并夸大事实对其进行污蔑。</w:t>
      </w:r>
    </w:p>
    <w:p w14:paraId="69A8510C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结合材料一,运用《政治与法治》知识，阐释H村加强乡风文明和乡村治理建设的成功经验。</w:t>
      </w:r>
    </w:p>
    <w:p w14:paraId="2A305ABE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结合材料二,运用法律与生活的知识对张某与化工厂的纠纷分别进行评价。</w:t>
      </w:r>
    </w:p>
    <w:p w14:paraId="7253C7AF"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t xml:space="preserve">20. </w:t>
      </w:r>
      <w:r>
        <w:rPr>
          <w:rFonts w:ascii="宋体" w:hAnsi="宋体" w:eastAsia="宋体" w:cs="宋体"/>
          <w:color w:val="000000"/>
        </w:rPr>
        <w:t>阅读材料,完成下列要求。</w:t>
      </w:r>
    </w:p>
    <w:p w14:paraId="152965BD">
      <w:pPr>
        <w:spacing w:line="360" w:lineRule="auto"/>
        <w:ind w:firstLine="420"/>
        <w:jc w:val="both"/>
        <w:textAlignment w:val="center"/>
        <w:rPr>
          <w:color w:val="000000"/>
        </w:rPr>
      </w:pPr>
      <w:r>
        <w:rPr>
          <w:rFonts w:ascii="楷体" w:hAnsi="楷体" w:eastAsia="楷体" w:cs="楷体"/>
          <w:color w:val="000000"/>
        </w:rPr>
        <w:t>岭南文化历史底蕴深厚，风貌各具特色。</w:t>
      </w:r>
    </w:p>
    <w:p w14:paraId="312CC9C7">
      <w:pPr>
        <w:spacing w:line="360" w:lineRule="auto"/>
        <w:ind w:firstLine="420"/>
        <w:jc w:val="both"/>
        <w:textAlignment w:val="center"/>
        <w:rPr>
          <w:color w:val="000000"/>
        </w:rPr>
      </w:pPr>
      <w:r>
        <w:rPr>
          <w:rFonts w:ascii="楷体" w:hAnsi="楷体" w:eastAsia="楷体" w:cs="楷体"/>
          <w:color w:val="000000"/>
        </w:rPr>
        <w:t>材料一  岭南古村落的美丽风光散发着典雅古韵，勾起人们的思乡和怀旧情结，展现了岭南地区深厚历史底蕴和特色风貌。保护好、利用好传统村落，对全面推进百千万工程、实施乡村振兴战略具有重要意义。为了保护传统村落，广东省出台了一系列政策文件，指导各地编制和实施传统村落发展保护规划，推进了传统村落的保护。广州花都洛场村依托碉楼建筑，发展文化创意产业、非遗民间艺术表演，推动乡村古韵与现代气息相互交融;顺德杏坛镇把多个村内相堂变身为艺术馆、农家书屋等，让有着悠久历史的祠堂成为讲文明树新风的地方……广东以高度的文化自觉，推动传统村落留下美丽乡愁，焕发新的时代活力。</w:t>
      </w:r>
    </w:p>
    <w:p w14:paraId="29FF59E3">
      <w:pPr>
        <w:spacing w:line="360" w:lineRule="auto"/>
        <w:ind w:firstLine="420"/>
        <w:jc w:val="both"/>
        <w:textAlignment w:val="center"/>
        <w:rPr>
          <w:color w:val="000000"/>
        </w:rPr>
      </w:pPr>
      <w:r>
        <w:rPr>
          <w:rFonts w:ascii="楷体" w:hAnsi="楷体" w:eastAsia="楷体" w:cs="楷体"/>
          <w:color w:val="000000"/>
        </w:rPr>
        <w:t>材料二  2024年，以“非遗广州红 焕新粤生活”为主题的广州文化体验展盛大开幕。活动采用“非遗+艺术+数字+生活”的创新模式，线上通过融合影像、声音等数字技术，将传统非遗文化以一种新颖的方式“活化”呈现给公众；线下举办多场互动式体验活动，如粤语讲古快闪演出、制作广绣、岭南彩灯等，让参与者深刻感受到岭南文化在创新发展中的无限活力和魅力。社交媒体上，网友积极打卡非遗地标，共同传播优秀广州非遗文化。</w:t>
      </w:r>
    </w:p>
    <w:p w14:paraId="437530AB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有人认为，只要坚定文化自觉，就能实现广东古村落的成功保护。结合材料一，运用正确发挥主观能动性的知识对此予以评析。</w:t>
      </w:r>
    </w:p>
    <w:p w14:paraId="26867E18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结合材料二，运用文化传承与文化创新的知识，说明举办“非遗广州红”活动的积极影响。</w:t>
      </w:r>
    </w:p>
    <w:sectPr>
      <w:headerReference r:id="rId3" w:type="default"/>
      <w:footerReference r:id="rId4" w:type="default"/>
      <w:pgSz w:w="11906" w:h="16838"/>
      <w:pgMar w:top="910" w:right="1080" w:bottom="1440" w:left="108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Microsoft YaHei UI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S Mincho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250A944">
    <w:pPr>
      <w:jc w:val="center"/>
    </w:pPr>
    <w:r>
      <w:t>第</w:t>
    </w:r>
    <w:r>
      <w:fldChar w:fldCharType="begin"/>
    </w:r>
    <w:r>
      <w:instrText xml:space="preserve">PAGE</w:instrText>
    </w:r>
    <w:r>
      <w:fldChar w:fldCharType="separate"/>
    </w:r>
    <w:r>
      <w:t>1</w:t>
    </w:r>
    <w:r>
      <w:fldChar w:fldCharType="end"/>
    </w:r>
    <w:r>
      <w:t>页/共</w:t>
    </w:r>
    <w:r>
      <w:fldChar w:fldCharType="begin"/>
    </w:r>
    <w:r>
      <w:instrText xml:space="preserve">NUMPAGES</w:instrText>
    </w:r>
    <w:r>
      <w:fldChar w:fldCharType="separate"/>
    </w:r>
    <w:r>
      <w:t>1</w:t>
    </w:r>
    <w:r>
      <w:fldChar w:fldCharType="end"/>
    </w:r>
    <w:r>
      <w:t>页</w:t>
    </w:r>
  </w:p>
  <w:p w14:paraId="2B7A6A73">
    <w:pPr>
      <w:pStyle w:val="2"/>
    </w:pPr>
  </w:p>
  <w:p w14:paraId="7C5B2838">
    <w:pPr>
      <w:tabs>
        <w:tab w:val="center" w:pos="4153"/>
        <w:tab w:val="right" w:pos="8306"/>
      </w:tabs>
      <w:snapToGrid w:val="0"/>
      <w:jc w:val="left"/>
      <w:rPr>
        <w:rFonts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759F5C8">
    <w:pPr>
      <w:pBdr>
        <w:bottom w:val="none" w:color="auto" w:sz="0" w:space="1"/>
      </w:pBdr>
      <w:snapToGrid w:val="0"/>
      <w:rPr>
        <w:rFonts w:cs="Times New Roman"/>
        <w:kern w:val="0"/>
        <w:sz w:val="2"/>
        <w:szCs w:val="2"/>
      </w:rPr>
    </w:pPr>
    <w:bookmarkStart w:id="0" w:name="_GoBack"/>
    <w:bookmarkEnd w:id="0"/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DF2"/>
    <w:rsid w:val="00005EBC"/>
    <w:rsid w:val="00016BFA"/>
    <w:rsid w:val="000460FF"/>
    <w:rsid w:val="00054E7B"/>
    <w:rsid w:val="000E4D02"/>
    <w:rsid w:val="00171458"/>
    <w:rsid w:val="00173C1D"/>
    <w:rsid w:val="001764C3"/>
    <w:rsid w:val="0018010E"/>
    <w:rsid w:val="00191C29"/>
    <w:rsid w:val="001C63DA"/>
    <w:rsid w:val="001D4563"/>
    <w:rsid w:val="00201A7E"/>
    <w:rsid w:val="00221FC9"/>
    <w:rsid w:val="002457C2"/>
    <w:rsid w:val="002908F0"/>
    <w:rsid w:val="002A0E5D"/>
    <w:rsid w:val="002A1A21"/>
    <w:rsid w:val="002F06B2"/>
    <w:rsid w:val="003102DB"/>
    <w:rsid w:val="00360978"/>
    <w:rsid w:val="003C4A95"/>
    <w:rsid w:val="003D0C09"/>
    <w:rsid w:val="004062F6"/>
    <w:rsid w:val="004151FC"/>
    <w:rsid w:val="00435F83"/>
    <w:rsid w:val="0046214C"/>
    <w:rsid w:val="0049183B"/>
    <w:rsid w:val="004D44FD"/>
    <w:rsid w:val="00550C9E"/>
    <w:rsid w:val="00567E50"/>
    <w:rsid w:val="0059145F"/>
    <w:rsid w:val="00596076"/>
    <w:rsid w:val="005B39DB"/>
    <w:rsid w:val="005C2124"/>
    <w:rsid w:val="005F1362"/>
    <w:rsid w:val="00605626"/>
    <w:rsid w:val="006071D5"/>
    <w:rsid w:val="0062039B"/>
    <w:rsid w:val="00623C16"/>
    <w:rsid w:val="00637D3A"/>
    <w:rsid w:val="00640BF5"/>
    <w:rsid w:val="00657AA5"/>
    <w:rsid w:val="006D5DE9"/>
    <w:rsid w:val="006F45E0"/>
    <w:rsid w:val="00701D6B"/>
    <w:rsid w:val="007061B2"/>
    <w:rsid w:val="00740A09"/>
    <w:rsid w:val="00762E26"/>
    <w:rsid w:val="00767F31"/>
    <w:rsid w:val="00817391"/>
    <w:rsid w:val="00832EC9"/>
    <w:rsid w:val="008634CD"/>
    <w:rsid w:val="008731FA"/>
    <w:rsid w:val="00880A38"/>
    <w:rsid w:val="00893DD6"/>
    <w:rsid w:val="008D2E94"/>
    <w:rsid w:val="0090278E"/>
    <w:rsid w:val="00974E0F"/>
    <w:rsid w:val="00982128"/>
    <w:rsid w:val="009A27BF"/>
    <w:rsid w:val="009B5666"/>
    <w:rsid w:val="009C4252"/>
    <w:rsid w:val="009E203F"/>
    <w:rsid w:val="00A07DF2"/>
    <w:rsid w:val="00A25705"/>
    <w:rsid w:val="00A405DB"/>
    <w:rsid w:val="00A536B0"/>
    <w:rsid w:val="00AD6B6A"/>
    <w:rsid w:val="00B80D67"/>
    <w:rsid w:val="00B8100F"/>
    <w:rsid w:val="00B96924"/>
    <w:rsid w:val="00BA1A7E"/>
    <w:rsid w:val="00BB50C6"/>
    <w:rsid w:val="00BE1BCD"/>
    <w:rsid w:val="00C02815"/>
    <w:rsid w:val="00C02FC6"/>
    <w:rsid w:val="00C321EB"/>
    <w:rsid w:val="00CA4A07"/>
    <w:rsid w:val="00D51257"/>
    <w:rsid w:val="00D634C2"/>
    <w:rsid w:val="00D756B6"/>
    <w:rsid w:val="00D77F6E"/>
    <w:rsid w:val="00DA0796"/>
    <w:rsid w:val="00DA5448"/>
    <w:rsid w:val="00DF071B"/>
    <w:rsid w:val="00E63075"/>
    <w:rsid w:val="00E97096"/>
    <w:rsid w:val="00EA0188"/>
    <w:rsid w:val="00EB17B4"/>
    <w:rsid w:val="00ED1550"/>
    <w:rsid w:val="00EE1A37"/>
    <w:rsid w:val="00F21C80"/>
    <w:rsid w:val="00F676FD"/>
    <w:rsid w:val="00F72514"/>
    <w:rsid w:val="00FA0944"/>
    <w:rsid w:val="00FB34D2"/>
    <w:rsid w:val="00FB4B17"/>
    <w:rsid w:val="00FC5860"/>
    <w:rsid w:val="00FD377B"/>
    <w:rsid w:val="00FF2D79"/>
    <w:rsid w:val="00FF517A"/>
    <w:rsid w:val="38274566"/>
    <w:rsid w:val="5FFC23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宋体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iPriority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宋体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7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6">
    <w:name w:val="Hyperlink"/>
    <w:basedOn w:val="5"/>
    <w:unhideWhenUsed/>
    <w:qFormat/>
    <w:uiPriority w:val="99"/>
    <w:rPr>
      <w:color w:val="0000FF"/>
      <w:u w:val="single"/>
    </w:rPr>
  </w:style>
  <w:style w:type="character" w:customStyle="1" w:styleId="7">
    <w:name w:val="页眉 Char"/>
    <w:basedOn w:val="5"/>
    <w:link w:val="3"/>
    <w:uiPriority w:val="99"/>
    <w:rPr>
      <w:kern w:val="2"/>
      <w:sz w:val="18"/>
      <w:szCs w:val="24"/>
    </w:rPr>
  </w:style>
  <w:style w:type="paragraph" w:styleId="8">
    <w:name w:val="No Spacing"/>
    <w:qFormat/>
    <w:uiPriority w:val="1"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9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wmf"/><Relationship Id="rId8" Type="http://schemas.openxmlformats.org/officeDocument/2006/relationships/image" Target="media/image4.png"/><Relationship Id="rId7" Type="http://schemas.openxmlformats.org/officeDocument/2006/relationships/image" Target="media/image3.wmf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2.xml"/><Relationship Id="rId11" Type="http://schemas.openxmlformats.org/officeDocument/2006/relationships/customXml" Target="../customXml/item1.xml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2049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E307460-9DFB-479F-8EE5-A342464829C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学科网 www.zxxk.com</Company>
  <Pages>7</Pages>
  <Words>4286</Words>
  <Characters>4443</Characters>
  <Lines>0</Lines>
  <Paragraphs>0</Paragraphs>
  <TotalTime>5</TotalTime>
  <ScaleCrop>false</ScaleCrop>
  <LinksUpToDate>false</LinksUpToDate>
  <CharactersWithSpaces>4638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2024-12-18T00:30:00Z</dcterms:created>
  <dc:creator>学科网试题生产平台</dc:creator>
  <dc:description>3650232743632896</dc:description>
  <cp:lastModifiedBy>NICEMm</cp:lastModifiedBy>
  <dcterms:modified xsi:type="dcterms:W3CDTF">2024-12-18T05:35:07Z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2052-12.1.0.19302</vt:lpwstr>
  </property>
  <property fmtid="{D5CDD505-2E9C-101B-9397-08002B2CF9AE}" pid="7" name="ICV">
    <vt:lpwstr>CB1BB283198D4F4B8F897035D5D7D9DA_12</vt:lpwstr>
  </property>
</Properties>
</file>