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FC5860" w:rsidRPr="00BE1BCD">
      <w:pPr>
        <w:spacing w:line="285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11366500</wp:posOffset>
            </wp:positionV>
            <wp:extent cx="279400" cy="3556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color w:val="auto"/>
          <w:sz w:val="32"/>
        </w:rPr>
        <w:t>2024～2025学年第一学期期中调研考试高三政治试题</w:t>
      </w:r>
    </w:p>
    <w:p w:rsidR="00FC5860" w:rsidRPr="00BE1BCD">
      <w:pPr>
        <w:spacing w:line="285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注意事项:</w:t>
      </w:r>
    </w:p>
    <w:p w:rsidR="00FC5860" w:rsidRPr="00BE1BCD">
      <w:pPr>
        <w:spacing w:line="285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考生在答题前请认真阅读本注意事项及各题答题要求</w:t>
      </w:r>
    </w:p>
    <w:p w:rsidR="00FC5860" w:rsidRPr="00BE1BCD">
      <w:pPr>
        <w:spacing w:line="285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1.本试卷共8页，满分为100分，考试时间为75分钟。考试结束后，请将本试卷和答题卡一并交回。</w:t>
      </w:r>
    </w:p>
    <w:p w:rsidR="00FC5860" w:rsidRPr="00BE1BCD">
      <w:pPr>
        <w:spacing w:line="285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2.答题前，请务必将自己的姓名、准考证号用0.5毫米黑色墨水的签字笔填写在试卷及答题卡的规定位置。</w:t>
      </w:r>
    </w:p>
    <w:p w:rsidR="00FC5860" w:rsidRPr="00BE1BCD">
      <w:pPr>
        <w:spacing w:line="285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3.请认真核对监考员在答题卡上所粘贴的条形码上的姓名、准考证号与本人是否相符。</w:t>
      </w:r>
    </w:p>
    <w:p w:rsidR="00FC5860" w:rsidRPr="00BE1BCD">
      <w:pPr>
        <w:spacing w:line="285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4.作答选择题，必须用2B铅笔将答题卡上对应选项的方框涂满、涂黑；如需改动，请用橡皮擦干净后，再选涂其他答案。作答非选择题，必须用0.5毫米黑色墨水的签字笔在答题卡上的指定位置作答，在其他位置作答一律无效。</w:t>
      </w:r>
    </w:p>
    <w:p w:rsidR="00FC5860" w:rsidRPr="00BE1BCD">
      <w:pPr>
        <w:spacing w:line="285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5.如需作图，必须用2B铅笔绘、写清楚，线条、符号等需加黑、加粗。</w:t>
      </w:r>
    </w:p>
    <w:p w:rsidR="00FC5860" w:rsidRPr="00BE1BCD">
      <w:pPr>
        <w:spacing w:line="285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一、单项选择题：共16题，每题3分，共48分。每题只有一个选项最符合题意。</w:t>
      </w:r>
    </w:p>
    <w:p w:rsidR="00FC5860" w:rsidRPr="00BE1BCD">
      <w:pPr>
        <w:spacing w:before="120"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2024年10月24日，习近平主席在“金砖+”领导人对话会上发表《汇聚“全球南方”磅礴力量共同推动构建人类命运共同体》的重要讲话。他强调，“全球南方”为发展而起，因发展而兴。无论国际形势如何变化，中国始终心系全球南方、扎根全球南方，支持更多全球南方国家加入金砖事业。这说明（   ）</w:t>
      </w:r>
    </w:p>
    <w:p>
      <w:pPr>
        <w:spacing w:line="360" w:lineRule="auto"/>
        <w:jc w:val="left"/>
        <w:textAlignment w:val="center"/>
        <w:rPr>
          <w:color w:val="auto"/>
        </w:rPr>
      </w:pPr>
      <w:r w:rsidRPr="00BE1BCD" w:rsidR="00FC5860">
        <w:t xml:space="preserve">A. </w:t>
      </w:r>
      <w:r>
        <w:rPr>
          <w:rFonts w:ascii="宋体" w:eastAsia="宋体" w:hAnsi="宋体" w:cs="宋体"/>
          <w:color w:val="auto"/>
        </w:rPr>
        <w:t>中国为构建新型国际关系发挥建设性作用</w:t>
      </w:r>
    </w:p>
    <w:p>
      <w:pPr>
        <w:spacing w:line="360" w:lineRule="auto"/>
        <w:jc w:val="left"/>
        <w:textAlignment w:val="center"/>
        <w:rPr>
          <w:color w:val="auto"/>
        </w:rPr>
      </w:pPr>
      <w:r w:rsidRPr="00BE1BCD" w:rsidR="00FC5860">
        <w:t xml:space="preserve">B. </w:t>
      </w:r>
      <w:r>
        <w:rPr>
          <w:rFonts w:ascii="宋体" w:eastAsia="宋体" w:hAnsi="宋体" w:cs="宋体"/>
          <w:color w:val="auto"/>
        </w:rPr>
        <w:t>金砖国家已成为国家之间加强合作的重要平台</w:t>
      </w:r>
    </w:p>
    <w:p>
      <w:pPr>
        <w:spacing w:line="360" w:lineRule="auto"/>
        <w:jc w:val="left"/>
        <w:textAlignment w:val="center"/>
        <w:rPr>
          <w:color w:val="auto"/>
        </w:rPr>
      </w:pPr>
      <w:r w:rsidRPr="00BE1BCD" w:rsidR="00FC5860">
        <w:t xml:space="preserve">C. </w:t>
      </w:r>
      <w:r>
        <w:rPr>
          <w:rFonts w:ascii="宋体" w:eastAsia="宋体" w:hAnsi="宋体" w:cs="宋体"/>
          <w:color w:val="auto"/>
        </w:rPr>
        <w:t>发展中国家始终坚持平等互利、和平共处的原则</w:t>
      </w:r>
    </w:p>
    <w:p>
      <w:pPr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D. </w:t>
      </w:r>
      <w:r>
        <w:rPr>
          <w:rFonts w:ascii="宋体" w:eastAsia="宋体" w:hAnsi="宋体" w:cs="宋体"/>
          <w:color w:val="auto"/>
        </w:rPr>
        <w:t>“全球南方”群体性崛起促成了多极化格局的形成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近年来，中国新能源产业迅速发展，美国却妄称中国新能源产业靠政府扶持。事实上，中国新能源产业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快速发展建立在持续技术创新、完善产供链体系和充分市场竞争之上，取得的领先地位是比较优势和市场规律共同作用的结果，而不是靠政府补贴。相反，美国通过数千亿美元的补贴，直接干预市场资源配置。据此，可以推断出（   ）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①发挥比较优势，就能在全球性价值链中处于中高端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②参与国际竞争，有利于调整产业结构，促进自身发展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③中国新能源产业的发展，顺应了全球绿色低碳转型的需要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④美国做法违反了世贸组织基本原则，本质上是贸易保护主义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“一带一路”进入高质量发展的新阶段，成为深受欢迎的国际公共产品和国际合作平台。推动“一带一路”国际合作行稳致远，要坚持目标导向、行动导向，全方位推进政策沟通、设施联通等，扎实落实高质量务实合作项目。推动“一带一路”国际合作的合理举措是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构建贸易畅通机制，缔结多边自由贸易协定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健全融资保障机制，建立健全统一的融资政策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完善项目发展机制，鼓励企业优先履行社会责任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强化安全保障机制，提高企业经营水平和盈利能力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某村集体践行“小田变大田”，采用统一流转农户耕地、分散承包给大户、统一经营管理的“统分统”模式，同时结合“玉米大豆复合种植”方式，推动当地特色农业规模化、产业化，实现村民收入大增。村民戏称“小田”变成了“大甜”。据此推断，带来这一变化的原因是（   ）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①拓展农业经营模式，激发了该村内生动力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②深化农村产权制度改革，优化了土地资源配置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③提高土地利用效率，增加了农民的财产性收入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④创新农业社会化服务体系，满足了农业生产需要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②④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第十三届中国国际钢铁大会上，产业界人士表示：我国当前钢铁行业运行呈现高产量、高成本、高出口以及低需求、低价格、低效益的“三高三低”趋势，行业发展面临重重挑战，必须防止“内卷式”恶性竞争，向高端领域寻找新突破。为此，以下推导正确的是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实施积极货币政策——降低企业融资难度——扩大生产规模——增强市场占有率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推进能源结构创新——减少原燃料消耗——稳定要素市场价格——提高钢企经济效益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认清产品供需矛盾——找准钢材产品定位——协同产研用创新——增强市场竞争力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汇聚全球制造信息——畅通行业间信息共享——建立跨行业合作模式——拓展国际市场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新时代，国企改革深化提升行动聚焦功能性改革与体制机制性改革两大任务。功能性改革可以概括为要发挥国有企业科技创新、产业控制、安全支撑“三个作用”。体制机制性改革就是要着力打造发展方式新、公司治理新、经营机制新、布局结构新的现代新国企。由此可见（   ）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 xml:space="preserve">①体制机制性改革能推动国有企业创新发展        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②功能性改革意在发挥国有企业的控制力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 xml:space="preserve">③全面推进依法治企能够提高国有资本效率        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④深化国有企业改革能增强国有经济竞争力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为守好医保“钱袋子”，国家医保局加强医保基金监管，发挥大数据的作用，通过“限制性别类诊疗、检查、用药”数据筛查，对骗保行为实施“精准打击”，追回医保基金近1400万元。据此可知（   ）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 xml:space="preserve">①经济发展是保障医保资金的决定因素            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②释放数据要素价值有助于提高监管水平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 xml:space="preserve">③提高社会福利有助于守好医保“钱袋子”        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④依法监管有助于社会保障体系安全规范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②④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有心理学家认为，人类大脑有快与慢两种做决定的方式：快思考依赖情感、记忆和经验迅速作出判断，能够迅速对眼前的情况做出反应，固守“眼见即为事实”的原则；而慢思考通过调动注意力来分析和解决问题，它拥有一个不断反刍的思维过程，不容易出错，但有时也会偷懒，选择让“快思考”来接管，用直觉“走捷径”。对此理解正确的是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慢思考的思维过程源于眼见的真实情况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快思考对客观世界改造作用优于慢思考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慢思考的不断反刍是对快思考模式的否定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快思考和慢思考都是对客观存在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反映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近日，中共中央办公厅印发了《中国共产党不合格党员组织处置办法》，规定了限期改正、劝其退党和除名的适用情形，细化处置程序及后续事项；规定了可以不予处置的情形、合并处置等应把握的政策要求；规定了组织处置的工作责任、工作纪律等。该《办法》的制定和实施（   ）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①有利于全面从严治党，保持党员队伍先进性和纯洁性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②完善了党内法规体系，为全面依法治国提供根本遵循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③细化了处置程序，对不合格党员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处置更加客观公正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④旨在发挥党员的先锋模范作用，增强党的生机和活力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今年全国人大会议期间，代表们的议案呈现几大特点：一是胸怀“国之大者”，提出的议案努力反映推动经济社会高质量发展的新要求。二是灵活运用专题调研、视察、座谈、走访等方式问需于民、问计于民，通过上述方式形成的议案有230件，占议案总数的77.2%。三是认真酝酿讨论、修改完善立法议案，所提议案附有草案文本的有180件，占法律案总数的61.6%。这说明人大代表（   ）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①聚焦国家中心任务，代表人民统一行使国家权力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②积极践行全过程人民民主，厚植议案的民意基础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③提高自身履职能力，对人民负责，接受人民监督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④抓住提高立法质量这个关键，提高议案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针对性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②④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江西省上饶市政协组织少数民族、民盟等界别的委员，与市委统战部、市文化广电旅游局、市农业农村局深入交流探讨，共同协商如何加快上饶市少数民族乡村旅游业发展。由此可见（   ）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①人民政协将协商民主的优势贯穿于政协履职的过程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②实行民族区域自治制度有利于促进各民族共同繁荣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③各民主党派作为参政党，积极履行参政议政的职能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④人民政协凝聚广泛共识，形成少数民族乡村发展合力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②④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青海玉树藏族自治州设立三江源生态法庭，集中管辖全州的环境资源案件，加大对污染环境、破坏资源、非法猎捕野生动物等不法行为的惩罚力度。当地还在刑事处罚和经济赔偿之外，积极探索推行补种复绿、劳务代偿、替代性修复等多元生态修复方式，实现谁污染谁负责、谁破坏谁修复，让最美生态得到最严守护。据此可知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①三江源生态法庭作为自治机关，行使自治权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②该地践行绿色发展理念，追求人与自然和谐共生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③当地政府积极履行生态文明建设职能，守护三江源环境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④该地创新生态环境司法保护新路径，筑牢生态保护屏障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近日，一篇题为《低俗炒作博眼球，爆“瓜”文化不可取》的文章，打着A官网的旗号在网上炒作，引发部分网友误解。然而真相却是，A官网并没有发过这篇文章，此乃彻头彻尾的“套牌”戏法。所谓的网址链接，根本不是A官网的网络地址。关于该事件，以下说法正确的是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“套牌”戏法侵犯了A官网的著作权和商标权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广播电视机构要对此类违法行为进行严厉打击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若假冒A官网散布谣言，构成犯罪的要承担刑事责任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该虚假宣传行为损害A官网商业信誉，属不正当竞争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孙某（女）为某村委会十一组村民。农村土地二轮承包时，孙某取得该村土地承包经营权，其户口亦一直在村委会。2011年3月11日，孙某与张某某（非农业家庭户口）登记结婚。近年来，村委会将十一组柴田对外发包，收取承包金。2020年3月14日，村委会对每位十一组成员发放2450元柴田承包金分红，但因孙某属于“婚出姑娘”未予分红。孙某争取未果，诉至法院。村委会未作答辩。据此，下列说法正确的是（   ）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①被告不提交答辩状的，不影响人民法院审理案件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②农村土地承包经营权的流转所得是一种担保物权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③孙某若想变更农村土地所有权需到相关部门登记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④“婚出姑娘”不分红违背了“法律面前人人平等”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>
            <wp:extent cx="31750" cy="88900"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王甲早年丧偶，有一女王乙。王乙有一女小高。2001年8月15日，A房屋登记为王甲、小高共同共有。王甲常年与外甥小刘共同生活，并由其照顾。2009年4月7日，王甲办理了一份公证遗嘱，小刘和王乙各继承一半其所有的房屋份额。订立遗嘱后，王甲又与小刘约定：由小刘继续照顾其直至百年，王甲百年后遗留的房屋份额由小刘一人继承。2020年1月19日，王甲去世。2020年2月12日，小刘要求分得房产份额。本案中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若小刘未尽赡养义务，则没有规定的继承权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A房屋是王甲的个人财产，王甲享有处分权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按照约定，小刘可以获得A房屋的一半份额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王乙是王甲的法定继承人，可以继承A房屋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张某（女）和王某2006年结婚，2009年生育一子王小某，2016年二人离婚。王小某成长过程中，其开销一直由母亲张某承担，父亲王某没有承担抚养费，也没有尽到作为父亲的抚养和教育责任。2022年王小某诉请王某按照每月3082元的标准支付自2016年1月1日至王小某满18周岁的抚养费。据此可推断（   ）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①王小某可委托诉讼代理人，帮助其进行诉讼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②因诉讼时效已过，法院不会支持王小某诉求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③若王某不服一审判决，需在15日上诉期内提起上诉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④若王小某申请法律援助，可以向人民法院提出申请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②④</w:t>
      </w:r>
    </w:p>
    <w:p>
      <w:pPr>
        <w:spacing w:before="120" w:line="285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二、简答题：共5题，共52分。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阅读材料，完成下列要求。</w:t>
      </w:r>
    </w:p>
    <w:p>
      <w:pPr>
        <w:spacing w:before="120"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连云港经济技术开发区构建的《“立即解决、问题清零”难题会办机制》入选2024年度中国开发区营商环境百佳案例，实现了优化服务供给，以“营商”换“赢商”。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5238750" cy="2657511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657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结合材料，运用《经济与社会》知识，阐述连云港经济技术开发区以“营商”换“赢商”的路径。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阅读材料，完成下列要求。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2024年9月，中国国际服务贸易交易会在北京开幕，1.2万家全球企业参与其中。本届服贸会以“全球服务，互惠共享”为主题，聚焦新质生产力、新技术、新场景，提升国际化程度，凝聚发展共识，激发开放活力，为全球服务贸易提供“中国式”新思路。交易会期间，持续释放政策红利。“144小时过境免签”等一系列数字化便利化来华政策，成为旅游经济发展的“流量密码”；卫生健康服务贸易梯度开放，助推各国健康卫生领域优质医疗服务升级……中国与英国、新加坡等15个国家签署了服务贸易合作协议，同时，与金砖国家、上合组织以及中东欧国家建立服务贸易国际合作网络，持续加强政策沟通、项目对接和研究合作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结合材料，运用《当代国际政治与经济》知识，说明“中国式”新思路赋能全球服务贸易的意义。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阅读材料，完成下列要求。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【名词解释】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高阶智能驾驶是指具备较高自动化水平的驾驶辅助系统，能够在一定程度上减轻驾驶员的操作负担，提升驾驶的安全性与舒适性。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【现状分析】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高阶智能驾驶系统利用各种传感器（如摄像头、雷达、激光雷达等）、先进的计算机系统和人工智能算法来实现车辆的自主操作，根据场景、模型、数据的不断演进完成自我革新，助力智能驾驶成长为体验上更拟人、技术上更类人的</w:t>
      </w:r>
      <w:r>
        <w:rPr>
          <w:rFonts w:ascii="宋体" w:eastAsia="宋体" w:hAnsi="宋体" w:cs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老司机</w:t>
      </w:r>
      <w:r>
        <w:rPr>
          <w:rFonts w:ascii="宋体" w:eastAsia="宋体" w:hAnsi="宋体" w:cs="宋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随着智能驾驶系统越来越依赖于实时数据和云计算，网络延迟和服务端故障也可能成为新的风险点。比如在某些极端恶劣天气条件下，传感器的性能可能会受到影响，导致系统的准确性和可靠性下降；在没有清晰标识的狭窄街道、人车混行的路口等复杂的城市路况下，系统可能无法完全准确应对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有人认为，克服了“网络延迟和服务端故障”，高阶智能驾驶就能成为“老司机”。请运用唯物辩证法的有关知识，对该观点进行评析。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eastAsia="宋体" w:hAnsi="宋体" w:cs="宋体"/>
          <w:color w:val="000000"/>
        </w:rPr>
        <w:t>阅读材料，完成下列要求。</w:t>
      </w:r>
    </w:p>
    <w:p>
      <w:pPr>
        <w:spacing w:before="120"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当前，群众对政务大厅周末“不打烊”的呼声越来越高。许多群众表示，工业企业全年生产，政务大厅朝九晚五、周末关门，老百姓“工作日没空办事，周末没地办事”。</w:t>
      </w:r>
    </w:p>
    <w:p>
      <w:pPr>
        <w:spacing w:before="120"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面对呼声，一些基层干部也说出了“苦衷”：政务大厅只是提供场地让各个职能部门派员集中办公，业务上仍是纵向管理。窗口初审之外，还涉及后台审核、领导审核、部门协调等，若没有业务线后续环节支持，即使政务大厅“周末不打烊”，还是办不成。</w:t>
      </w:r>
    </w:p>
    <w:p>
      <w:pPr>
        <w:spacing w:before="120"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解决政务大厅“困境”，只从人下手是不够的，还需要技术赋能。早在2016年国务院就发布了《政务信息资源共享管理暂行办法》，让“互联网+政务服务”更加高效便民。但目前少数地方在“互联网+政务服务”上的进展，距离公众的期望仍有差距。根据某县政府官网信息，该县行政审批服务局入驻政务服务事项共有1500多项，但可“全程网办”事项仅90件。究其原因，是部门间存在数据壁垒，并联审批推行存在难度。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结合材料，运用《政治与法治》知识，说明应如何解决政务大厅“困境”。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eastAsia="宋体" w:hAnsi="宋体" w:cs="宋体"/>
          <w:color w:val="000000"/>
        </w:rPr>
        <w:t>阅读材料，完成下列要求。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甲于2015年2月4日冒用其弟身份与乙保安公司签订劳动合同，入职乙公司担任安保工作。双方一直续签劳动合同，最后一份合同约定终止期限为2022年2月1日。2021年2月15日，甲在执勤警卫室突发疾病，经抢救无效死亡，死亡原因为急性脑梗死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甲的儿子丙申请劳动仲裁，经仲裁，裁决甲与乙公司自2015年2月4日至2021年2月15日存在劳动关系，该《裁决书》已生效。2021年6月2日，丙向区人社局申请工伤认定，并提交了《劳动合同》《裁决书》等相关材料。区人社局依法作出工伤决定书，认定甲受到的事故伤害符合《工伤保险条例》第十五条第一款第（一）项之规定，予以视同工伤。乙公司向该区政府申请行政复议，区政府作出复议决定，维持被诉工伤决定书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乙公司不服，向法院起诉，请求法院判决撤销区人社局作出的《认定工伤决定书》和区政府作出的《行政复议决定书》。经审理，法院判决驳回乙公司的全部诉讼请求。</w:t>
      </w:r>
    </w:p>
    <w:tbl>
      <w:tblPr>
        <w:tblStyle w:val="TableNormal"/>
        <w:tblW w:w="8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730"/>
      </w:tblGrid>
      <w:tr>
        <w:tblPrEx>
          <w:tblW w:w="832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W w:w="8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《工伤保险条例》</w:t>
            </w:r>
          </w:p>
          <w:p>
            <w:pPr>
              <w:spacing w:line="360" w:lineRule="auto"/>
              <w:ind w:firstLine="420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第十五条  职工有下列情形之一的，视同工伤：（一）在工作时间和工作岗位，突发疾病死亡或者在48小时之内经抢救无效死亡的……</w:t>
            </w:r>
          </w:p>
          <w:p>
            <w:pPr>
              <w:spacing w:line="360" w:lineRule="auto"/>
              <w:ind w:firstLine="420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第十八条  提出工伤认定申请应当提交下列材料：（二）与用人单位存在劳动关系（包括事实劳动关系）的证明材料；（三）医疗诊断证明或者职业病诊断证明书（或者职业病诊断鉴定书）……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结合材料，分析甲与乙公司的劳动合同是否成立？说明法院驳回乙公司诉讼请求的理由。</w:t>
      </w:r>
    </w:p>
    <w:sectPr w:rsidSect="00C321EB">
      <w:pgSz w:w="11906" w:h="16838"/>
      <w:pgMar w:top="910" w:right="1080" w:bottom="1440" w:left="108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1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numbering" Target="numbering.xml"/><Relationship Id="rId13" Type="http://schemas.openxmlformats.org/officeDocument/2006/relationships/styles" Target="styles.xml"/><Relationship Id="rId2" Type="http://schemas.openxmlformats.org/officeDocument/2006/relationships/webSettings" Target="webSetting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Relationship Id="rId5" Type="http://schemas.openxmlformats.org/officeDocument/2006/relationships/image" Target="media/image1.png"/><Relationship Id="rId6" Type="http://schemas.openxmlformats.org/officeDocument/2006/relationships/image" Target="media/image2.wmf"/><Relationship Id="rId7" Type="http://schemas.openxmlformats.org/officeDocument/2006/relationships/image" Target="media/image3.wmf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