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01010C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12611100</wp:posOffset>
            </wp:positionH>
            <wp:positionV relativeFrom="topMargin">
              <wp:posOffset>12674600</wp:posOffset>
            </wp:positionV>
            <wp:extent cx="457200" cy="317500"/>
            <wp:effectExtent l="0" t="0" r="0" b="0"/>
            <wp:wrapNone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t>沧衡名校联盟高三年级2024-2025学年上学期期中考试</w:t>
      </w:r>
    </w:p>
    <w:p w14:paraId="041A6B07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</w:rPr>
        <w:t>地 理</w:t>
      </w:r>
    </w:p>
    <w:p w14:paraId="679FACA3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一、选择题</w:t>
      </w:r>
      <w:r>
        <w:rPr>
          <w:rFonts w:hint="eastAsia" w:ascii="Times New Roman" w:hAnsi="Times New Roman" w:cs="Times New Roman"/>
          <w:lang w:val="en-US" w:eastAsia="zh-CN"/>
        </w:rPr>
        <w:t>(</w:t>
      </w:r>
      <w:r>
        <w:rPr>
          <w:rFonts w:hint="default" w:ascii="Times New Roman" w:hAnsi="Times New Roman" w:cs="Times New Roman"/>
        </w:rPr>
        <w:t>本题包括16小题，每小题3分，共48分。每小题只有一个选项符合题意）</w:t>
      </w:r>
    </w:p>
    <w:p w14:paraId="1B13913B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  海洋渔业是中国现代农业和海洋经济的重要组成部分。近年来，海洋渔业产业结构逐步优化，海水养殖业已成为其优势产业。尽管政府已经针对海洋渔业资源出台了一系列养护政策，但由于受人口增长、养殖污染、工程建设、过度捕捞等方面的影响，海洋渔业资源仍呈现出持续衰退的趋势，海洋渔业发展面临着严峻挑战，可持续发展问题已成为社会关注的焦点。图1示意2013-2022年山东省海洋渔业资源利用情况。据此完成1-3题。</w:t>
      </w:r>
    </w:p>
    <w:p w14:paraId="0C6405EC">
      <w:pPr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3580130" cy="1952625"/>
            <wp:effectExtent l="0" t="0" r="12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A4EE8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1．据图推测，2013-2022年，山东省海洋渔业</w:t>
      </w:r>
    </w:p>
    <w:p w14:paraId="2E72B661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A．养殖产量持续下降    B．现代化水平总体较高</w:t>
      </w:r>
    </w:p>
    <w:p w14:paraId="56C2010A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C．资源利用率波动下降  D．机动渔船数量增加</w:t>
      </w:r>
    </w:p>
    <w:p w14:paraId="3678E24E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2．研究发现，2013-2022年山东省人均海水产品产量呈下降趋势，其主要原因有</w:t>
      </w:r>
    </w:p>
    <w:p w14:paraId="451E0F61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①消费偏好改变②产业冲击③国家禁渔政策的实施④人口数量增加</w:t>
      </w:r>
    </w:p>
    <w:p w14:paraId="4188A31B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A．①②    B．①③    C．②③    D．③④</w:t>
      </w:r>
    </w:p>
    <w:p w14:paraId="214BFB68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3．为改善海洋渔业和渔民民生，政府最应该</w:t>
      </w:r>
    </w:p>
    <w:p w14:paraId="75356C64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A.健全转产服务体系，加强渔民专业技能培训</w:t>
      </w:r>
    </w:p>
    <w:p w14:paraId="26529499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B．建立养殖容量管控机制，调整养殖布局</w:t>
      </w:r>
    </w:p>
    <w:p w14:paraId="46D90DEB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C．加强水域生态环境监测，建立严密监控网络</w:t>
      </w:r>
    </w:p>
    <w:p w14:paraId="7C81DF9B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D.抓好海洋伏季休渔管理，延长休渔时间</w:t>
      </w:r>
    </w:p>
    <w:p w14:paraId="5CE6C28F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  乡村人口流向城市工作是我国城镇化进程中的典型现象，但不同人口购房或租房的地点存在差异，甚至存在“工作城市一家乡城镇一老家农村”三栖模式，子女留在家乡城镇或老家农村。图2示意四类城一乡流动家庭的居住模式。据此完成4-6题。</w:t>
      </w:r>
    </w:p>
    <w:p w14:paraId="3B4E8D92">
      <w:pPr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3126105" cy="2082800"/>
            <wp:effectExtent l="0" t="0" r="1714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2212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7EAEB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4．购房安居地与就业谋生地空间分离主要体现在</w:t>
      </w:r>
    </w:p>
    <w:p w14:paraId="1884FEA9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A．流入地购房型    B．流出地购房型</w:t>
      </w:r>
    </w:p>
    <w:p w14:paraId="47EA567E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C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default" w:ascii="Times New Roman" w:hAnsi="Times New Roman" w:cs="Times New Roman"/>
        </w:rPr>
        <w:t>城—镇分布型    D．城一乡分布型</w:t>
      </w:r>
    </w:p>
    <w:p w14:paraId="43787CB1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5．城市流人人口在超大城市的购房比例远低于其他等级城市，主要取决于超大城市的</w:t>
      </w:r>
    </w:p>
    <w:p w14:paraId="34F37B0C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A．住房成本    B．收入水平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</w:rPr>
        <w:t xml:space="preserve">  C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default" w:ascii="Times New Roman" w:hAnsi="Times New Roman" w:cs="Times New Roman"/>
        </w:rPr>
        <w:t>环境品质    D．社会保障</w:t>
      </w:r>
    </w:p>
    <w:p w14:paraId="176D34AA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6．“工作城市一家乡城镇一老家农村”三栖模式可能会导致</w:t>
      </w:r>
    </w:p>
    <w:p w14:paraId="1839F90A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①较高等级城市房产炒作加剧②较高等级城市就业压力增大③较低等级城镇经济风险</w:t>
      </w:r>
    </w:p>
    <w:p w14:paraId="633A5E8F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加大④较低等级城镇生态环境恶化</w:t>
      </w:r>
    </w:p>
    <w:p w14:paraId="42E6EDE0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A.①③    B．①④    C．②③    D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default" w:ascii="Times New Roman" w:hAnsi="Times New Roman" w:cs="Times New Roman"/>
        </w:rPr>
        <w:t>②④</w:t>
      </w:r>
    </w:p>
    <w:p w14:paraId="25D722AB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  祁连山野牛沟地区不同草地类型的植物群落结构各异。在高寒地区，高寒草甸区植物地上生物量较高，土壤有机碳库受草地类型、温度、土壤质地、含水量、植物凋落物以及植被覆盖率等因素影响。图3为不同草地类型区土壤有机碳比重变化图。据此完成7-8题。</w:t>
      </w:r>
    </w:p>
    <w:p w14:paraId="2BED1863">
      <w:pPr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2861310" cy="2477135"/>
            <wp:effectExtent l="0" t="0" r="1524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25602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7．高寒沼泽草甸区有机碳随土层深度的变化为</w:t>
      </w:r>
    </w:p>
    <w:p w14:paraId="2CCACAB3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>A.</w:t>
      </w:r>
      <w:r>
        <w:rPr>
          <w:rFonts w:hint="default" w:ascii="Times New Roman" w:hAnsi="Times New Roman" w:cs="Times New Roman"/>
        </w:rPr>
        <w:t xml:space="preserve">保持相对稳定    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</w:rPr>
        <w:t>B．呈阶梯式上升</w:t>
      </w:r>
    </w:p>
    <w:p w14:paraId="7D778826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C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default" w:ascii="Times New Roman" w:hAnsi="Times New Roman" w:cs="Times New Roman"/>
        </w:rPr>
        <w:t>先上升，后下降    D．先下降，后上升</w:t>
      </w:r>
    </w:p>
    <w:p w14:paraId="0AAECB8E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8．随着土层深度增加，高寒草甸区有机碳比重变化的原因最可能是</w:t>
      </w:r>
    </w:p>
    <w:p w14:paraId="2F5A6E5B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>A.</w:t>
      </w:r>
      <w:r>
        <w:rPr>
          <w:rFonts w:hint="default" w:ascii="Times New Roman" w:hAnsi="Times New Roman" w:cs="Times New Roman"/>
        </w:rPr>
        <w:t>土壤质地的变化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</w:rPr>
        <w:t xml:space="preserve">  B．植被根系分布的变化</w:t>
      </w:r>
    </w:p>
    <w:p w14:paraId="070C16DC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>C</w:t>
      </w:r>
      <w:r>
        <w:rPr>
          <w:rFonts w:hint="default" w:ascii="Times New Roman" w:hAnsi="Times New Roman" w:cs="Times New Roman"/>
        </w:rPr>
        <w:t>．气候条件的变化</w:t>
      </w: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</w:rPr>
        <w:t xml:space="preserve">  D．土壤微生物活动的变化</w:t>
      </w:r>
    </w:p>
    <w:p w14:paraId="6752A9B1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  巢湖位于安徽省中部，是我国五大淡水湖之一，其周边土地利用方式受人类活动影响大。</w:t>
      </w:r>
    </w:p>
    <w:p w14:paraId="4A3EF378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表1为2000-2020年巢湖流域各土地利用类型数据表。据此完成9-10题。</w:t>
      </w:r>
    </w:p>
    <w:p w14:paraId="4170EC4E">
      <w:pPr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269230" cy="1342390"/>
            <wp:effectExtent l="0" t="0" r="762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0E345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9．近20年来，巢湖流域土地利用方式的变化反映出</w:t>
      </w:r>
    </w:p>
    <w:p w14:paraId="256919B2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A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default" w:ascii="Times New Roman" w:hAnsi="Times New Roman" w:cs="Times New Roman"/>
        </w:rPr>
        <w:t>农业收入占比增加  B．城镇化进程缓慢</w:t>
      </w:r>
    </w:p>
    <w:p w14:paraId="735FDD1B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C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default" w:ascii="Times New Roman" w:hAnsi="Times New Roman" w:cs="Times New Roman"/>
        </w:rPr>
        <w:t>生态环境大为改善  D．国民经济快速发展</w:t>
      </w:r>
    </w:p>
    <w:p w14:paraId="32F9B4A5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10.推测近几十年巢湖流域水域面积有所增加，主要得益于</w:t>
      </w:r>
    </w:p>
    <w:p w14:paraId="30085BD8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>A.</w:t>
      </w:r>
      <w:r>
        <w:rPr>
          <w:rFonts w:hint="default" w:ascii="Times New Roman" w:hAnsi="Times New Roman" w:cs="Times New Roman"/>
        </w:rPr>
        <w:t>水利工程的修建    B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default" w:ascii="Times New Roman" w:hAnsi="Times New Roman" w:cs="Times New Roman"/>
        </w:rPr>
        <w:t>环境保护的推行</w:t>
      </w:r>
    </w:p>
    <w:p w14:paraId="081F23BB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C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default" w:ascii="Times New Roman" w:hAnsi="Times New Roman" w:cs="Times New Roman"/>
        </w:rPr>
        <w:t>产业布局的调整    D．建筑用地的拓展</w:t>
      </w:r>
    </w:p>
    <w:p w14:paraId="38C1BCA4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  东亚夏季风强度具有明显的年际变化，夏季风每年到达的最北位置都有所不同。我国把这些具有明显年际和年代际的“最北位置”所呈现的带状波动区域称为夏季风边缘摆动区。图4示意东亚夏季风边缘摆动区（阴影部分）。据此完成11-13题。</w:t>
      </w:r>
    </w:p>
    <w:p w14:paraId="38D90734">
      <w:pPr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3359785" cy="2501265"/>
            <wp:effectExtent l="0" t="0" r="1206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AB2E5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11.我国东亚夏季风边缘摆动区</w:t>
      </w:r>
    </w:p>
    <w:p w14:paraId="77ABC369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>A.</w:t>
      </w:r>
      <w:r>
        <w:rPr>
          <w:rFonts w:hint="default" w:ascii="Times New Roman" w:hAnsi="Times New Roman" w:cs="Times New Roman"/>
        </w:rPr>
        <w:t>是永久性固定不变的  B．仅分布于我国“三北”地区</w:t>
      </w:r>
    </w:p>
    <w:p w14:paraId="57348922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C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default" w:ascii="Times New Roman" w:hAnsi="Times New Roman" w:cs="Times New Roman"/>
        </w:rPr>
        <w:t>具有明显的过渡特征  D．气候季节性和年际变化较小</w:t>
      </w:r>
    </w:p>
    <w:p w14:paraId="3CF8C16B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12．我国东亚夏季风边缘摆动区划分的主要依据是</w:t>
      </w:r>
    </w:p>
    <w:p w14:paraId="1811EEE1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A．降水    B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default" w:ascii="Times New Roman" w:hAnsi="Times New Roman" w:cs="Times New Roman"/>
        </w:rPr>
        <w:t>气温</w:t>
      </w:r>
      <w:r>
        <w:rPr>
          <w:rFonts w:hint="eastAsia" w:ascii="Times New Roman" w:hAnsi="Times New Roman" w:cs="Times New Roman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</w:rPr>
        <w:t xml:space="preserve">  C．昼长    D．风带</w:t>
      </w:r>
    </w:p>
    <w:p w14:paraId="272DEFD9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13.若东亚夏季风在我国快速到达最北位置且滞留月余，则最可能说明当年夏季</w:t>
      </w:r>
    </w:p>
    <w:p w14:paraId="035D48F4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>A</w:t>
      </w:r>
      <w:r>
        <w:rPr>
          <w:rFonts w:hint="default" w:ascii="Times New Roman" w:hAnsi="Times New Roman" w:cs="Times New Roman"/>
        </w:rPr>
        <w:t>．副热带高压完全消失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</w:rPr>
        <w:t>B．长江流域旱灾加重</w:t>
      </w:r>
    </w:p>
    <w:p w14:paraId="7A5E2D5E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C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default" w:ascii="Times New Roman" w:hAnsi="Times New Roman" w:cs="Times New Roman"/>
        </w:rPr>
        <w:t>东南信风带位置偏南  D．北方海陆温差变大</w:t>
      </w:r>
    </w:p>
    <w:p w14:paraId="0B0D11F9">
      <w:pPr>
        <w:ind w:firstLine="420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阿牙克库木湖位于青藏高原库木库里盆地，属高原内流咸水湖，有多条季节性河流流入，流域面积近20 000k</w:t>
      </w:r>
      <w:r>
        <w:rPr>
          <w:rFonts w:hint="eastAsia" w:ascii="Times New Roman" w:hAnsi="Times New Roman" w:cs="Times New Roman"/>
          <w:lang w:val="en-US" w:eastAsia="zh-CN"/>
        </w:rPr>
        <w:t>m</w:t>
      </w:r>
      <w:r>
        <w:rPr>
          <w:rFonts w:hint="default" w:ascii="Times New Roman" w:hAnsi="Times New Roman" w:cs="Times New Roman"/>
          <w:vertAlign w:val="superscript"/>
        </w:rPr>
        <w:t>2</w:t>
      </w:r>
      <w:r>
        <w:rPr>
          <w:rFonts w:hint="default" w:ascii="Times New Roman" w:hAnsi="Times New Roman" w:cs="Times New Roman"/>
        </w:rPr>
        <w:t>。近20年来，该湖泊水位上升了7m，面积增加了83%，2023年面积达1141. 67 km</w:t>
      </w:r>
      <w:r>
        <w:rPr>
          <w:rFonts w:hint="default" w:ascii="Times New Roman" w:hAnsi="Times New Roman" w:cs="Times New Roman"/>
          <w:vertAlign w:val="superscript"/>
        </w:rPr>
        <w:t>2</w:t>
      </w:r>
      <w:r>
        <w:rPr>
          <w:rFonts w:hint="default" w:ascii="Times New Roman" w:hAnsi="Times New Roman" w:cs="Times New Roman"/>
        </w:rPr>
        <w:t>。图5示意阿牙克库木湖多年平均降水量、蒸发量和气温变化。据此完成14-16题。</w:t>
      </w:r>
    </w:p>
    <w:p w14:paraId="0F515216">
      <w:pPr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2879725" cy="1730375"/>
            <wp:effectExtent l="0" t="0" r="1587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78125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14.该湖水位最高的月份是</w:t>
      </w:r>
    </w:p>
    <w:p w14:paraId="4AC1828D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A．3月    B．6月    C．9月    D．12月</w:t>
      </w:r>
    </w:p>
    <w:p w14:paraId="6DE219DB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15．近20年来，该湖收支量最大的是</w:t>
      </w:r>
    </w:p>
    <w:p w14:paraId="29411913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>A</w:t>
      </w:r>
      <w:r>
        <w:rPr>
          <w:rFonts w:hint="default" w:ascii="Times New Roman" w:hAnsi="Times New Roman" w:cs="Times New Roman"/>
        </w:rPr>
        <w:t>．湖面降水量  B．湖水下渗量</w:t>
      </w:r>
    </w:p>
    <w:p w14:paraId="1BE4DDA0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C．湖面蒸发量  D．人湖径流量</w:t>
      </w:r>
    </w:p>
    <w:p w14:paraId="15BEB77D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16．阿牙克库木湖为内流咸水湖，其盐分主要来自</w:t>
      </w:r>
    </w:p>
    <w:p w14:paraId="7132DFB8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A．湖底沉积物释放  B．地下水溶滤</w:t>
      </w:r>
    </w:p>
    <w:p w14:paraId="7947342E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C．湖泊蒸发结晶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</w:rPr>
        <w:t xml:space="preserve">  D．河水和地下水</w:t>
      </w:r>
    </w:p>
    <w:p w14:paraId="39DE2B02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二、非选择题（本大题共3题，共52分）</w:t>
      </w:r>
    </w:p>
    <w:p w14:paraId="04EF1CAB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17．阅读图文材料，完成下列要求。（18分）</w:t>
      </w:r>
    </w:p>
    <w:p w14:paraId="2A2BFFDC">
      <w:pPr>
        <w:ind w:firstLine="420" w:firstLineChars="200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枣庄市位于山东省南部，作为煤炭资源型城市，由于长期的资源依赖，枣庄产业结构极</w:t>
      </w:r>
    </w:p>
    <w:p w14:paraId="2A6A0EA8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不合理。随着煤炭资源的日益枯竭，枣庄的发展陷入了动能不足的困境。2009年，枣庄市</w:t>
      </w:r>
    </w:p>
    <w:p w14:paraId="5D1D291D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被正式列入国家第二批资源枯竭城市名单，成为资源衰退型城市之一。近年来，枣庄积极探</w:t>
      </w:r>
    </w:p>
    <w:p w14:paraId="01E89169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索破局之路，即将完成从“煤城”到“绿城’’的华丽转变。目前，枣庄市有大量的空置土地、房</w:t>
      </w:r>
    </w:p>
    <w:p w14:paraId="6C9FF65E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屋。图6示意1980-2020年枣庄市原煤产量统计，图7示意2000-2020年枣庄市户籍人口与常住人口变化。</w:t>
      </w:r>
    </w:p>
    <w:p w14:paraId="42ED9149">
      <w:pPr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4859020" cy="1704340"/>
            <wp:effectExtent l="0" t="0" r="1778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2B62E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(1)描述1980-2020年枣庄市原煤产量的变化趋势，并简述2018年以来枣庄市常住人口不</w:t>
      </w:r>
    </w:p>
    <w:p w14:paraId="56D9A029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  断减少的原因。(12分)</w:t>
      </w:r>
    </w:p>
    <w:p w14:paraId="61B0BBA5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(2)请为盘活枣庄市社会经济提出合理性建议。（6分）</w:t>
      </w:r>
    </w:p>
    <w:p w14:paraId="3377E169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18.阅读图文材料，完成下列要求。（16分）</w:t>
      </w:r>
    </w:p>
    <w:p w14:paraId="6CDF0CC4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  重视粮草兼顾的发展格局，减少饲料粮的消耗，利用优质饲草替代饲料粮，大力发展草</w:t>
      </w:r>
    </w:p>
    <w:p w14:paraId="1254E9EA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业，对于实现节粮增效、保障食物安全具有非常重要的现实意义。燕麦具有喜凉、喜干燥的</w:t>
      </w:r>
    </w:p>
    <w:p w14:paraId="403C096C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气候、喜阳光，不耐高温，耐贫瘠，耐盐碱，需水较少等生长特性。作为我国主推的重要粮食与饲料兼用作物，燕麦的籽粒可作为主粮和功能性食品，在保障粮食安全中发挥重要作用。</w:t>
      </w:r>
    </w:p>
    <w:p w14:paraId="6591203F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将粮食安全与燕麦产业紧密结合，可以优化耕地种植结构，提高耕地产出率，并可提升对全</w:t>
      </w:r>
    </w:p>
    <w:p w14:paraId="337B9B97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域资源的开发利用效率，加快构建多元化食物保障体系。图8示意中国燕麦主要生产区。</w:t>
      </w:r>
    </w:p>
    <w:p w14:paraId="4F0BB759">
      <w:pPr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3171190" cy="2359660"/>
            <wp:effectExtent l="0" t="0" r="1016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007F0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(1)简述我国燕麦生产区的空间分布特征。（4分）</w:t>
      </w:r>
    </w:p>
    <w:p w14:paraId="649B5C0F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(2)许多学者认为，燕麦是生态文明建设中的重要牧草。试对此做出合理的解释。（6分）</w:t>
      </w:r>
    </w:p>
    <w:p w14:paraId="1A425BA8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(3)针对我国燕麦产业的发展现状，以保障我国粮食安全为目标，提出合理化建议。（6分）</w:t>
      </w:r>
    </w:p>
    <w:p w14:paraId="4077CA97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19.阅读图文材料，完成下列要求。(18分)</w:t>
      </w:r>
    </w:p>
    <w:p w14:paraId="76779872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  始新世时期（距今5 780万年-3 660万年），贵州落脚河流域为平缓的盆地，碳酸岩区</w:t>
      </w:r>
    </w:p>
    <w:p w14:paraId="1E3ABEB1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长期被地表水和地下水缓慢塑造。中新世时期（距今2 300万年-533万年），山地抬升，地</w:t>
      </w:r>
    </w:p>
    <w:p w14:paraId="5F4EBE3A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貌快速演化，形成特殊的深切型喀斯特地貌（如图9）。随着流水溶蚀的持续，水中溶解了较多的钙离子，水对碳酸钙等可溶物质的溶蚀能力会下降。研究表明，两侧非碳酸岩区对碳酸岩区峡谷地貌发育具有促进作用。目前，深切河谷边坡仍在持续崩塌。</w:t>
      </w:r>
    </w:p>
    <w:p w14:paraId="401E0AAB">
      <w:pPr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4380230" cy="1729105"/>
            <wp:effectExtent l="0" t="0" r="127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7615B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(1)说明落脚河喀斯特深切峡谷地貌的形成过程。（8分）</w:t>
      </w:r>
    </w:p>
    <w:p w14:paraId="65B2FFA5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(2)分析两侧非碳酸岩区对碳酸岩区峡谷地貌发育的作用。（6分）</w:t>
      </w:r>
    </w:p>
    <w:p w14:paraId="760F8954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(3)你认为边坡崩塌会导致谷地拓宽还是缩窄？请表明你的观点并简述理由。（4分）</w:t>
      </w:r>
    </w:p>
    <w:p w14:paraId="074B6122">
      <w:pPr>
        <w:jc w:val="left"/>
        <w:rPr>
          <w:rFonts w:hint="default" w:ascii="Times New Roman" w:hAnsi="Times New Roman" w:cs="Times New Roman"/>
        </w:rPr>
      </w:pPr>
    </w:p>
    <w:p w14:paraId="312C8274">
      <w:pPr>
        <w:jc w:val="left"/>
        <w:rPr>
          <w:rFonts w:hint="default" w:ascii="Times New Roman" w:hAnsi="Times New Roman" w:cs="Times New Roman"/>
        </w:rPr>
        <w:sectPr>
          <w:pgSz w:w="11906" w:h="16838"/>
          <w:pgMar w:top="1383" w:right="1800" w:bottom="1383" w:left="1800" w:header="851" w:footer="992" w:gutter="0"/>
          <w:cols w:space="425" w:num="1"/>
          <w:docGrid w:type="lines" w:linePitch="312" w:charSpace="0"/>
        </w:sectPr>
      </w:pPr>
    </w:p>
    <w:p w14:paraId="32C84907">
      <w:pPr>
        <w:jc w:val="left"/>
        <w:rPr>
          <w:rFonts w:hint="default" w:ascii="Times New Roman" w:hAnsi="Times New Roman" w:cs="Times New Roman"/>
        </w:rPr>
      </w:pPr>
    </w:p>
    <w:p w14:paraId="1CC1D633">
      <w:pPr>
        <w:jc w:val="left"/>
        <w:rPr>
          <w:rFonts w:hint="default" w:ascii="Times New Roman" w:hAnsi="Times New Roman" w:cs="Times New Roman"/>
        </w:rPr>
      </w:pPr>
    </w:p>
    <w:p w14:paraId="3B62FF21">
      <w:pPr>
        <w:jc w:val="left"/>
        <w:rPr>
          <w:rFonts w:hint="default" w:ascii="Times New Roman" w:hAnsi="Times New Roman" w:cs="Times New Roman"/>
        </w:rPr>
      </w:pPr>
    </w:p>
    <w:p w14:paraId="03CCFF53">
      <w:pPr>
        <w:jc w:val="left"/>
        <w:rPr>
          <w:rFonts w:hint="default" w:ascii="Times New Roman" w:hAnsi="Times New Roman" w:cs="Times New Roman"/>
        </w:rPr>
      </w:pPr>
    </w:p>
    <w:p w14:paraId="2985261B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</w:rPr>
        <w:t>沧衡名校联盟高三年级2024-2025学年上学期期中考试</w:t>
      </w:r>
    </w:p>
    <w:p w14:paraId="18040D35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</w:rPr>
        <w:t>地理参考答案</w:t>
      </w:r>
    </w:p>
    <w:p w14:paraId="508265C1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1.B  2.D  3.A  4.C  5.A  6.C  7.A  8.B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</w:rPr>
        <w:t>9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default" w:ascii="Times New Roman" w:hAnsi="Times New Roman" w:cs="Times New Roman"/>
        </w:rPr>
        <w:t>D  10.B  11.C  12.A  13.B  14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default" w:ascii="Times New Roman" w:hAnsi="Times New Roman" w:cs="Times New Roman"/>
        </w:rPr>
        <w:t>C</w:t>
      </w:r>
    </w:p>
    <w:p w14:paraId="5895BC7C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15．D  16．D</w:t>
      </w:r>
    </w:p>
    <w:p w14:paraId="0616B32F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 7．(1)变化趋势：1980-1990年，枣庄市原煤产量较为稳定；1990-2020年，枣庄市原煤产量不断增加，2010年达到最高值；之后迅速下降，2020年降低至1  183. 93万吨。（6分）</w:t>
      </w:r>
    </w:p>
    <w:p w14:paraId="60FDFEF1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原因：经济结构转型缓慢，经济发展速度放缓；就业较为困难；生态环境较差等。（6分，答案合理可酌情给分）</w:t>
      </w:r>
    </w:p>
    <w:p w14:paraId="58B7404A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(2)将空置土地、房屋改造为农贸市场、文化活动场所、儿童游乐场所、极限运动场所等多功能的临时场地，以低成本及短期的利用方式激活闲置土地和空间；引导人口向主城区等组团中心集聚，发展网络型紧凑城市；综合整治，打通城市生态廊道堵点，优化城市生态斑块、生态廊道，连通现有河流水系，串联城市公共绿地和开放空间，构建城市绿色基础设施网络等。（6分）</w:t>
      </w:r>
    </w:p>
    <w:p w14:paraId="4CBC74BB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18．(1)我国燕麦的生产区域主要集中在气候冷凉区域；燕麦生产区密度大致从西北向东南递减；西北地区和青藏地区燕麦生产区面积最大，其次是东北地区；华北地区和南方地区也有零星分布等。（答出两点，4分）</w:t>
      </w:r>
    </w:p>
    <w:p w14:paraId="1B5380CF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(2)燕麦是节水、耐旱型饲草作物，可作为节水型饲草大力发展，可充分利用在降水量较少、</w:t>
      </w:r>
    </w:p>
    <w:p w14:paraId="63C4A911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水资源匮乏的地区；燕麦是耐盐碱型饲草作物，可以实现盐碱地土壤改良，适用于土壤较差</w:t>
      </w:r>
    </w:p>
    <w:p w14:paraId="44891CD0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的地区；燕麦是低碳型饲草作物，种植燕麦可减少二氧化碳的排放量，推进绿色生态发展等。</w:t>
      </w:r>
    </w:p>
    <w:p w14:paraId="69D8DB14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（答出两点，6分）</w:t>
      </w:r>
    </w:p>
    <w:p w14:paraId="52D6F68A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(3)健全国家燕麦种质资源的保存体系，全方位提升燕麦种质资源保存、鉴定评价、分发共享能力；扩大燕麦种植面积，增加种植补贴，为农民提供燕麦销售渠道；提升燕麦饲草加工技术，充分调动企业和科研单位合作的积极性，强化燕麦草加工贮藏技术；加强燕麦专用种收贮中小型机械的研发和推广，减少进口依赖，提高生产效率，降低生产成本。（答出三点，</w:t>
      </w:r>
    </w:p>
    <w:p w14:paraId="31374D9E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6分）</w:t>
      </w:r>
    </w:p>
    <w:p w14:paraId="7934D5D2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19．(1)碳酸岩区岩石溶蚀强烈，发育落水洞、地下河等岩溶地貌（3分）；地壳抬升，地表河流的下切增强（2分）；部分落水洞坍塌，地表河与地下水系贯通，形成深切峡谷（3分）。</w:t>
      </w:r>
    </w:p>
    <w:p w14:paraId="5C913D91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(2)两侧地形凸起，约束水流向碳酸岩区集中，增强流水侵蚀（3分）；来自非碳酸岩区的外源水的钙离子饱和度低，流水溶蚀能力强，进一步促进峡谷地貌的形成（3分）。</w:t>
      </w:r>
    </w:p>
    <w:p w14:paraId="5A947DE0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(3)拓宽。理由：边坡崩塌导致山体后退（2分）；崩塌碎屑被流水向下游搬运，河谷展宽（2分）。</w:t>
      </w:r>
    </w:p>
    <w:p w14:paraId="36EFF93E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[或缩窄。理由：崩塌物堆积在谷底（2分）；崩塌物粒径、规模较大，难以被搬运（2分）。]</w:t>
      </w:r>
    </w:p>
    <w:p w14:paraId="207500E6">
      <w:pPr>
        <w:jc w:val="left"/>
        <w:rPr>
          <w:rFonts w:hint="default" w:ascii="Times New Roman" w:hAnsi="Times New Roman" w:cs="Times New Roman"/>
        </w:rPr>
      </w:pPr>
    </w:p>
    <w:p w14:paraId="0B241130">
      <w:pPr>
        <w:jc w:val="left"/>
        <w:rPr>
          <w:rFonts w:hint="default" w:ascii="Times New Roman" w:hAnsi="Times New Roman" w:cs="Times New Roman"/>
        </w:rPr>
      </w:pPr>
      <w:bookmarkStart w:id="0" w:name="_GoBack"/>
      <w:bookmarkEnd w:id="0"/>
    </w:p>
    <w:sectPr>
      <w:pgSz w:w="11906" w:h="16838"/>
      <w:pgMar w:top="1383" w:right="1800" w:bottom="138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NjMDY0MDMyYWMyMGZhNTcyM2I3NjE1YjUwZGU0ZWUifQ=="/>
  </w:docVars>
  <w:rsids>
    <w:rsidRoot w:val="7DA7534C"/>
    <w:rsid w:val="004151FC"/>
    <w:rsid w:val="00C02FC6"/>
    <w:rsid w:val="099459D0"/>
    <w:rsid w:val="176037D7"/>
    <w:rsid w:val="67C34289"/>
    <w:rsid w:val="7DA7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0"/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6">
    <w:name w:val="页眉 Char"/>
    <w:link w:val="3"/>
    <w:semiHidden/>
    <w:qFormat/>
    <w:uiPriority w:val="99"/>
    <w:rPr>
      <w:rFonts w:ascii="Times New Roman" w:hAnsi="Times New Roman" w:eastAsia="宋体" w:cs="Times New Roman"/>
      <w:sz w:val="18"/>
      <w:szCs w:val="18"/>
      <w:lang w:eastAsia="zh-CN"/>
    </w:rPr>
  </w:style>
  <w:style w:type="character" w:customStyle="1" w:styleId="7">
    <w:name w:val="页脚 Char"/>
    <w:link w:val="2"/>
    <w:semiHidden/>
    <w:qFormat/>
    <w:uiPriority w:val="99"/>
    <w:rPr>
      <w:rFonts w:ascii="Times New Roman" w:hAnsi="Times New Roman" w:eastAsia="宋体" w:cs="Times New Roman"/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3653</Words>
  <Characters>3920</Characters>
  <DocSecurity>0</DocSecurity>
  <Lines>0</Lines>
  <Paragraphs>0</Paragraphs>
  <ScaleCrop>false</ScaleCrop>
  <LinksUpToDate>false</LinksUpToDate>
  <CharactersWithSpaces>4193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2024-11-18T09:49:00Z</dcterms:created>
  <dcterms:modified xsi:type="dcterms:W3CDTF">2024-11-20T03:16:33Z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2052-12.1.0.18912</vt:lpwstr>
  </property>
  <property fmtid="{D5CDD505-2E9C-101B-9397-08002B2CF9AE}" pid="7" name="ICV">
    <vt:lpwstr>19BCDCE8472143E381A0D33FDBE79E4D_12</vt:lpwstr>
  </property>
</Properties>
</file>