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2B368A" w:rsidP="002B368A">
      <w:pPr>
        <w:spacing w:line="288" w:lineRule="auto"/>
        <w:jc w:val="center"/>
        <w:rPr>
          <w:rFonts w:ascii="Times New Roman" w:hAnsi="Times New Roman"/>
          <w:b/>
          <w:sz w:val="32"/>
          <w:szCs w:val="32"/>
        </w:rPr>
      </w:pPr>
      <w:r>
        <w:rPr>
          <w:rFonts w:ascii="Times New Roman" w:hAnsi="Times New Roman"/>
          <w:b/>
          <w:sz w:val="32"/>
          <w:szCs w:val="32"/>
        </w:rPr>
        <w:drawing>
          <wp:anchor simplePos="0" relativeHeight="251658240" behindDoc="0" locked="0" layoutInCell="1" allowOverlap="1">
            <wp:simplePos x="0" y="0"/>
            <wp:positionH relativeFrom="page">
              <wp:posOffset>10325100</wp:posOffset>
            </wp:positionH>
            <wp:positionV relativeFrom="topMargin">
              <wp:posOffset>11887200</wp:posOffset>
            </wp:positionV>
            <wp:extent cx="355600" cy="279400"/>
            <wp:wrapNone/>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xmlns:r="http://schemas.openxmlformats.org/officeDocument/2006/relationships" r:embed="rId5"/>
                    <a:stretch>
                      <a:fillRect/>
                    </a:stretch>
                  </pic:blipFill>
                  <pic:spPr>
                    <a:xfrm>
                      <a:off x="0" y="0"/>
                      <a:ext cx="355600" cy="279400"/>
                    </a:xfrm>
                    <a:prstGeom prst="rect">
                      <a:avLst/>
                    </a:prstGeom>
                  </pic:spPr>
                </pic:pic>
              </a:graphicData>
            </a:graphic>
          </wp:anchor>
        </w:drawing>
      </w:r>
      <w:r>
        <w:rPr>
          <w:rFonts w:ascii="Times New Roman" w:hAnsi="Times New Roman"/>
          <w:b/>
          <w:sz w:val="32"/>
          <w:szCs w:val="32"/>
        </w:rPr>
        <w:t>沧</w:t>
      </w:r>
      <w:r>
        <w:rPr>
          <w:rFonts w:ascii="Times New Roman" w:hAnsi="Times New Roman"/>
          <w:b/>
          <w:sz w:val="32"/>
          <w:szCs w:val="32"/>
        </w:rPr>
        <w:t>衡名校联盟高三年级</w:t>
      </w:r>
      <w:r>
        <w:rPr>
          <w:rFonts w:ascii="Times New Roman" w:hAnsi="Times New Roman"/>
          <w:b/>
          <w:sz w:val="32"/>
          <w:szCs w:val="32"/>
        </w:rPr>
        <w:t>2024—2025</w:t>
      </w:r>
      <w:r>
        <w:rPr>
          <w:rFonts w:ascii="Times New Roman" w:hAnsi="Times New Roman"/>
          <w:b/>
          <w:sz w:val="32"/>
          <w:szCs w:val="32"/>
        </w:rPr>
        <w:t>学年上学期期中考试</w:t>
      </w:r>
    </w:p>
    <w:p w:rsidR="002B368A" w:rsidP="002B368A">
      <w:pPr>
        <w:spacing w:line="288" w:lineRule="auto"/>
        <w:jc w:val="center"/>
        <w:rPr>
          <w:rFonts w:ascii="Times New Roman" w:hAnsi="Times New Roman"/>
          <w:b/>
          <w:sz w:val="32"/>
          <w:szCs w:val="32"/>
        </w:rPr>
      </w:pPr>
      <w:r>
        <w:rPr>
          <w:rFonts w:ascii="Times New Roman" w:hAnsi="Times New Roman"/>
          <w:b/>
          <w:sz w:val="32"/>
          <w:szCs w:val="32"/>
        </w:rPr>
        <w:t>生物学</w:t>
      </w:r>
    </w:p>
    <w:p w:rsidR="002B368A" w:rsidP="002B368A">
      <w:pPr>
        <w:spacing w:line="288" w:lineRule="auto"/>
        <w:jc w:val="center"/>
        <w:rPr>
          <w:rFonts w:ascii="Times New Roman" w:hAnsi="Times New Roman"/>
          <w:b/>
          <w:sz w:val="24"/>
        </w:rPr>
      </w:pPr>
      <w:r>
        <w:rPr>
          <w:rFonts w:ascii="Times New Roman" w:hAnsi="Times New Roman"/>
          <w:b/>
          <w:sz w:val="24"/>
        </w:rPr>
        <w:t>本试卷满分</w:t>
      </w:r>
      <w:r>
        <w:rPr>
          <w:rFonts w:ascii="Times New Roman" w:hAnsi="Times New Roman"/>
          <w:b/>
          <w:sz w:val="24"/>
        </w:rPr>
        <w:t>100</w:t>
      </w:r>
      <w:r>
        <w:rPr>
          <w:rFonts w:ascii="Times New Roman" w:hAnsi="Times New Roman"/>
          <w:b/>
          <w:sz w:val="24"/>
        </w:rPr>
        <w:t>分，考试用时</w:t>
      </w:r>
      <w:r>
        <w:rPr>
          <w:rFonts w:ascii="Times New Roman" w:hAnsi="Times New Roman"/>
          <w:b/>
          <w:sz w:val="24"/>
        </w:rPr>
        <w:t>75</w:t>
      </w:r>
      <w:r>
        <w:rPr>
          <w:rFonts w:ascii="Times New Roman" w:hAnsi="Times New Roman"/>
          <w:b/>
          <w:sz w:val="24"/>
        </w:rPr>
        <w:t>分钟。</w:t>
      </w:r>
    </w:p>
    <w:p w:rsidR="002B368A" w:rsidP="002B368A">
      <w:pPr>
        <w:spacing w:line="288" w:lineRule="auto"/>
        <w:jc w:val="left"/>
        <w:rPr>
          <w:rFonts w:ascii="Times New Roman" w:hAnsi="Times New Roman"/>
          <w:b/>
          <w:sz w:val="24"/>
        </w:rPr>
      </w:pPr>
      <w:r>
        <w:rPr>
          <w:rFonts w:ascii="Times New Roman" w:hAnsi="Times New Roman"/>
          <w:b/>
          <w:sz w:val="24"/>
        </w:rPr>
        <w:t>注意事项：</w:t>
      </w:r>
    </w:p>
    <w:p w:rsidR="002B368A" w:rsidP="002B368A">
      <w:pPr>
        <w:spacing w:line="288" w:lineRule="auto"/>
        <w:jc w:val="left"/>
        <w:rPr>
          <w:rFonts w:ascii="Times New Roman" w:hAnsi="Times New Roman"/>
          <w:b/>
          <w:sz w:val="24"/>
        </w:rPr>
      </w:pPr>
      <w:r>
        <w:rPr>
          <w:rFonts w:ascii="Times New Roman" w:hAnsi="Times New Roman"/>
          <w:b/>
          <w:sz w:val="24"/>
        </w:rPr>
        <w:t>1</w:t>
      </w:r>
      <w:r>
        <w:rPr>
          <w:rFonts w:ascii="Times New Roman" w:hAnsi="Times New Roman"/>
          <w:b/>
          <w:sz w:val="24"/>
        </w:rPr>
        <w:t>．答题前，考生务必将自己的姓名、考生号、考场号、座位号填写在答题卡上。</w:t>
      </w:r>
    </w:p>
    <w:p w:rsidR="002B368A" w:rsidP="002B368A">
      <w:pPr>
        <w:spacing w:line="288" w:lineRule="auto"/>
        <w:jc w:val="left"/>
        <w:rPr>
          <w:rFonts w:ascii="Times New Roman" w:hAnsi="Times New Roman"/>
          <w:b/>
          <w:sz w:val="24"/>
        </w:rPr>
      </w:pPr>
      <w:r>
        <w:rPr>
          <w:rFonts w:ascii="Times New Roman" w:hAnsi="Times New Roman"/>
          <w:b/>
          <w:sz w:val="24"/>
        </w:rPr>
        <w:t>2</w:t>
      </w:r>
      <w:r>
        <w:rPr>
          <w:rFonts w:ascii="Times New Roman" w:hAnsi="Times New Roman"/>
          <w:b/>
          <w:sz w:val="24"/>
        </w:rPr>
        <w:t>．回答选择题时，选出每小题答案后，用铅笔把答题卡上对应题目的答案标号涂黑。如需改动，用橡皮擦干净后，再选</w:t>
      </w:r>
      <w:r>
        <w:rPr>
          <w:rFonts w:ascii="Times New Roman" w:hAnsi="Times New Roman"/>
          <w:b/>
          <w:sz w:val="24"/>
        </w:rPr>
        <w:t>涂其他</w:t>
      </w:r>
      <w:r>
        <w:rPr>
          <w:rFonts w:ascii="Times New Roman" w:hAnsi="Times New Roman"/>
          <w:b/>
          <w:sz w:val="24"/>
        </w:rPr>
        <w:t>答案标号。</w:t>
      </w:r>
      <w:r>
        <w:rPr>
          <w:rFonts w:ascii="Times New Roman" w:hAnsi="Times New Roman"/>
          <w:b/>
          <w:sz w:val="24"/>
        </w:rPr>
        <w:t>回答非</w:t>
      </w:r>
      <w:r>
        <w:rPr>
          <w:rFonts w:ascii="Times New Roman" w:hAnsi="Times New Roman"/>
          <w:b/>
          <w:sz w:val="24"/>
        </w:rPr>
        <w:t>选择题时，将答案写在答题卡上。写在本试卷上无效。</w:t>
      </w:r>
    </w:p>
    <w:p w:rsidR="002B368A" w:rsidP="002B368A">
      <w:pPr>
        <w:spacing w:line="288" w:lineRule="auto"/>
        <w:jc w:val="left"/>
        <w:rPr>
          <w:rFonts w:ascii="Times New Roman" w:hAnsi="Times New Roman"/>
          <w:b/>
          <w:sz w:val="24"/>
        </w:rPr>
      </w:pPr>
      <w:r>
        <w:rPr>
          <w:rFonts w:ascii="Times New Roman" w:hAnsi="Times New Roman"/>
          <w:b/>
          <w:sz w:val="24"/>
        </w:rPr>
        <w:t>3</w:t>
      </w:r>
      <w:r>
        <w:rPr>
          <w:rFonts w:ascii="Times New Roman" w:hAnsi="Times New Roman"/>
          <w:b/>
          <w:sz w:val="24"/>
        </w:rPr>
        <w:t>．考试结束后，将本试卷和答题卡一并交回。</w:t>
      </w:r>
    </w:p>
    <w:p w:rsidR="002B368A" w:rsidP="002B368A">
      <w:pPr>
        <w:spacing w:line="288" w:lineRule="auto"/>
        <w:jc w:val="left"/>
        <w:rPr>
          <w:rFonts w:ascii="Times New Roman" w:hAnsi="Times New Roman"/>
          <w:b/>
          <w:sz w:val="24"/>
        </w:rPr>
      </w:pPr>
      <w:r>
        <w:rPr>
          <w:rFonts w:ascii="Times New Roman" w:hAnsi="Times New Roman"/>
          <w:b/>
          <w:sz w:val="24"/>
        </w:rPr>
        <w:t>4</w:t>
      </w:r>
      <w:r>
        <w:rPr>
          <w:rFonts w:ascii="Times New Roman" w:hAnsi="Times New Roman"/>
          <w:b/>
          <w:sz w:val="24"/>
        </w:rPr>
        <w:t>．本试卷主要考试内容：人教版必修</w:t>
      </w:r>
      <w:r>
        <w:rPr>
          <w:rFonts w:ascii="Times New Roman" w:hAnsi="Times New Roman"/>
          <w:b/>
          <w:sz w:val="24"/>
        </w:rPr>
        <w:t>1</w:t>
      </w:r>
      <w:r>
        <w:rPr>
          <w:rFonts w:ascii="Times New Roman" w:hAnsi="Times New Roman"/>
          <w:b/>
          <w:sz w:val="24"/>
        </w:rPr>
        <w:t>、</w:t>
      </w:r>
      <w:r>
        <w:rPr>
          <w:rFonts w:ascii="Times New Roman" w:hAnsi="Times New Roman"/>
          <w:b/>
          <w:sz w:val="24"/>
        </w:rPr>
        <w:t>2</w:t>
      </w:r>
      <w:r>
        <w:rPr>
          <w:rFonts w:ascii="Times New Roman" w:hAnsi="Times New Roman"/>
          <w:b/>
          <w:sz w:val="24"/>
        </w:rPr>
        <w:t>。</w:t>
      </w:r>
    </w:p>
    <w:p w:rsidR="002B368A" w:rsidP="002B368A">
      <w:pPr>
        <w:spacing w:line="288" w:lineRule="auto"/>
        <w:jc w:val="left"/>
        <w:rPr>
          <w:rFonts w:ascii="Times New Roman" w:hAnsi="Times New Roman"/>
          <w:b/>
          <w:sz w:val="24"/>
        </w:rPr>
      </w:pPr>
      <w:r>
        <w:rPr>
          <w:rFonts w:ascii="Times New Roman" w:hAnsi="Times New Roman"/>
          <w:b/>
          <w:sz w:val="24"/>
        </w:rPr>
        <w:t>一、单项选择题：本题共</w:t>
      </w:r>
      <w:r>
        <w:rPr>
          <w:rFonts w:ascii="Times New Roman" w:hAnsi="Times New Roman"/>
          <w:b/>
          <w:sz w:val="24"/>
        </w:rPr>
        <w:t>13</w:t>
      </w:r>
      <w:r>
        <w:rPr>
          <w:rFonts w:ascii="Times New Roman" w:hAnsi="Times New Roman"/>
          <w:b/>
          <w:sz w:val="24"/>
        </w:rPr>
        <w:t>小题，每小题</w:t>
      </w:r>
      <w:r>
        <w:rPr>
          <w:rFonts w:ascii="Times New Roman" w:hAnsi="Times New Roman"/>
          <w:b/>
          <w:sz w:val="24"/>
        </w:rPr>
        <w:t>2</w:t>
      </w:r>
      <w:r>
        <w:rPr>
          <w:rFonts w:ascii="Times New Roman" w:hAnsi="Times New Roman"/>
          <w:b/>
          <w:sz w:val="24"/>
        </w:rPr>
        <w:t>分，共</w:t>
      </w:r>
      <w:r>
        <w:rPr>
          <w:rFonts w:ascii="Times New Roman" w:hAnsi="Times New Roman"/>
          <w:b/>
          <w:sz w:val="24"/>
        </w:rPr>
        <w:t>26</w:t>
      </w:r>
      <w:r>
        <w:rPr>
          <w:rFonts w:ascii="Times New Roman" w:hAnsi="Times New Roman"/>
          <w:b/>
          <w:sz w:val="24"/>
        </w:rPr>
        <w:t>分。在每小题给出的四个选项中，只有一项是符合题目要求的。</w:t>
      </w:r>
    </w:p>
    <w:p w:rsidR="002B368A" w:rsidP="002B368A">
      <w:pPr>
        <w:spacing w:line="288" w:lineRule="auto"/>
        <w:jc w:val="left"/>
        <w:rPr>
          <w:rFonts w:ascii="Times New Roman" w:hAnsi="Times New Roman"/>
        </w:rPr>
      </w:pPr>
      <w:r>
        <w:rPr>
          <w:rFonts w:ascii="Times New Roman" w:hAnsi="Times New Roman"/>
        </w:rPr>
        <w:t>1</w:t>
      </w:r>
      <w:r>
        <w:rPr>
          <w:rFonts w:ascii="Times New Roman" w:hAnsi="Times New Roman"/>
        </w:rPr>
        <w:t>．花生种子萌发成幼苗的过程中，经历了细胞的分裂和分化，并发生了复杂的细胞代谢。下列相关叙述错误的是（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．花生种子萌发时，赤霉素的合成增多</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．花生种子萌发后，其细胞都仍然具有全能性</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．花生种子萌发时，细胞内自由水的含量增加</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．与花生种子相比，萌发后幼苗</w:t>
      </w:r>
      <w:r>
        <w:rPr>
          <w:rFonts w:ascii="Times New Roman" w:hAnsi="Times New Roman"/>
        </w:rPr>
        <w:t>DNA</w:t>
      </w:r>
      <w:r>
        <w:rPr>
          <w:rFonts w:ascii="Times New Roman" w:hAnsi="Times New Roman"/>
        </w:rPr>
        <w:t>的总量保持不变</w:t>
      </w:r>
    </w:p>
    <w:p w:rsidR="002B368A" w:rsidP="002B368A">
      <w:pPr>
        <w:spacing w:line="288" w:lineRule="auto"/>
        <w:jc w:val="left"/>
        <w:rPr>
          <w:rFonts w:ascii="Times New Roman" w:hAnsi="Times New Roman"/>
        </w:rPr>
      </w:pPr>
      <w:r>
        <w:rPr>
          <w:rFonts w:ascii="Times New Roman" w:hAnsi="Times New Roman"/>
        </w:rPr>
        <w:t>2</w:t>
      </w:r>
      <w:r>
        <w:rPr>
          <w:rFonts w:ascii="Times New Roman" w:hAnsi="Times New Roman"/>
        </w:rPr>
        <w:t>．图中</w:t>
      </w:r>
      <w:r>
        <w:rPr>
          <w:rFonts w:ascii="宋体" w:hAnsi="宋体" w:cs="宋体" w:hint="eastAsia"/>
        </w:rPr>
        <w:t>①</w:t>
      </w:r>
      <w:r>
        <w:rPr>
          <w:rFonts w:ascii="Times New Roman" w:hAnsi="Times New Roman"/>
        </w:rPr>
        <w:t>～</w:t>
      </w:r>
      <w:r>
        <w:rPr>
          <w:rFonts w:ascii="宋体" w:hAnsi="宋体" w:cs="宋体" w:hint="eastAsia"/>
        </w:rPr>
        <w:t>⑤</w:t>
      </w:r>
      <w:r>
        <w:rPr>
          <w:rFonts w:ascii="Times New Roman" w:hAnsi="Times New Roman"/>
        </w:rPr>
        <w:t>表示人体细胞的不同结构。下列叙述正确的是（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1581150" cy="1200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xmlns:r="http://schemas.openxmlformats.org/officeDocument/2006/relationships" r:embed="rId6"/>
                    <a:stretch>
                      <a:fillRect/>
                    </a:stretch>
                  </pic:blipFill>
                  <pic:spPr>
                    <a:xfrm>
                      <a:off x="0" y="0"/>
                      <a:ext cx="1581150" cy="1200150"/>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宋体" w:hAnsi="宋体" w:cs="宋体" w:hint="eastAsia"/>
        </w:rPr>
        <w:t>①</w:t>
      </w:r>
      <w:r>
        <w:rPr>
          <w:rFonts w:ascii="Times New Roman" w:hAnsi="Times New Roman"/>
        </w:rPr>
        <w:t>～</w:t>
      </w:r>
      <w:r>
        <w:rPr>
          <w:rFonts w:ascii="宋体" w:hAnsi="宋体" w:cs="宋体" w:hint="eastAsia"/>
        </w:rPr>
        <w:t>⑤</w:t>
      </w:r>
      <w:r>
        <w:rPr>
          <w:rFonts w:ascii="Times New Roman" w:hAnsi="Times New Roman"/>
        </w:rPr>
        <w:t>和溶酶体膜构成了细胞完整的生物膜系统</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宋体" w:hAnsi="宋体" w:cs="宋体" w:hint="eastAsia"/>
        </w:rPr>
        <w:t>①②④</w:t>
      </w:r>
      <w:r>
        <w:rPr>
          <w:rFonts w:ascii="Times New Roman" w:hAnsi="Times New Roman"/>
        </w:rPr>
        <w:t>损伤或衰老后会被中心体清除</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宋体" w:hAnsi="宋体" w:cs="宋体" w:hint="eastAsia"/>
        </w:rPr>
        <w:t>⑤</w:t>
      </w:r>
      <w:r>
        <w:rPr>
          <w:rFonts w:ascii="Times New Roman" w:hAnsi="Times New Roman"/>
        </w:rPr>
        <w:t>转运分泌蛋白的过程与细胞骨架密切相关</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．物质进出细胞核都依赖于位于</w:t>
      </w:r>
      <w:r>
        <w:rPr>
          <w:rFonts w:ascii="宋体" w:hAnsi="宋体" w:cs="宋体" w:hint="eastAsia"/>
        </w:rPr>
        <w:t>③</w:t>
      </w:r>
      <w:r>
        <w:rPr>
          <w:rFonts w:ascii="Times New Roman" w:hAnsi="Times New Roman"/>
        </w:rPr>
        <w:t>中的核孔</w:t>
      </w:r>
    </w:p>
    <w:p w:rsidR="002B368A" w:rsidP="002B368A">
      <w:pPr>
        <w:spacing w:line="288" w:lineRule="auto"/>
        <w:jc w:val="left"/>
        <w:rPr>
          <w:rFonts w:ascii="Times New Roman" w:hAnsi="Times New Roman"/>
        </w:rPr>
      </w:pPr>
      <w:r>
        <w:rPr>
          <w:rFonts w:ascii="Times New Roman" w:hAnsi="Times New Roman"/>
        </w:rPr>
        <w:t>3</w:t>
      </w:r>
      <w:r>
        <w:rPr>
          <w:rFonts w:ascii="Times New Roman" w:hAnsi="Times New Roman"/>
        </w:rPr>
        <w:t>．植物细胞细胞质基质中的</w:t>
      </w:r>
      <w:r>
        <w:rPr>
          <w:rFonts w:ascii="Times New Roman" w:hAnsi="Times New Roman"/>
        </w:rPr>
        <w:t>Cl</w:t>
      </w:r>
      <w:r>
        <w:rPr>
          <w:rFonts w:ascii="Times New Roman" w:hAnsi="Times New Roman"/>
          <w:vertAlign w:val="superscript"/>
        </w:rPr>
        <w:t>-</w:t>
      </w:r>
      <w:r>
        <w:rPr>
          <w:rFonts w:ascii="Times New Roman" w:hAnsi="Times New Roman"/>
        </w:rPr>
        <w:t>、</w:t>
      </w:r>
      <w:r>
        <w:rPr>
          <w:rFonts w:ascii="Times New Roman" w:hAnsi="Times New Roman"/>
        </w:rPr>
        <w:t>NO</w:t>
      </w:r>
      <w:r>
        <w:rPr>
          <w:rFonts w:ascii="Times New Roman" w:hAnsi="Times New Roman"/>
          <w:vertAlign w:val="subscript"/>
        </w:rPr>
        <w:t>3</w:t>
      </w:r>
      <w:r>
        <w:rPr>
          <w:rFonts w:ascii="Times New Roman" w:hAnsi="Times New Roman"/>
          <w:vertAlign w:val="superscript"/>
        </w:rPr>
        <w:t>-</w:t>
      </w:r>
      <w:r>
        <w:rPr>
          <w:rFonts w:ascii="Times New Roman" w:hAnsi="Times New Roman"/>
        </w:rPr>
        <w:t>通过离子通道进入液泡，</w:t>
      </w:r>
      <w:r>
        <w:rPr>
          <w:rFonts w:ascii="Times New Roman" w:hAnsi="Times New Roman"/>
        </w:rPr>
        <w:t>Na</w:t>
      </w:r>
      <w:r>
        <w:rPr>
          <w:rFonts w:ascii="Times New Roman" w:hAnsi="Times New Roman"/>
          <w:vertAlign w:val="superscript"/>
        </w:rPr>
        <w:t>+</w:t>
      </w:r>
      <w:r>
        <w:rPr>
          <w:rFonts w:ascii="Times New Roman" w:hAnsi="Times New Roman"/>
        </w:rPr>
        <w:t>、</w:t>
      </w:r>
      <w:r>
        <w:rPr>
          <w:rFonts w:ascii="Times New Roman" w:hAnsi="Times New Roman"/>
        </w:rPr>
        <w:t>Ca</w:t>
      </w:r>
      <w:r>
        <w:rPr>
          <w:rFonts w:ascii="Times New Roman" w:hAnsi="Times New Roman"/>
          <w:vertAlign w:val="superscript"/>
        </w:rPr>
        <w:t>2+</w:t>
      </w:r>
      <w:r>
        <w:rPr>
          <w:rFonts w:ascii="Times New Roman" w:hAnsi="Times New Roman"/>
        </w:rPr>
        <w:t>逆浓度梯度转运到液泡，以调节细胞的渗透压。细胞中的部分离子与蔗糖的转运机制如图所示。下列叙述正确的是（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2809875" cy="1438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xmlns:r="http://schemas.openxmlformats.org/officeDocument/2006/relationships" r:embed="rId7"/>
                    <a:stretch>
                      <a:fillRect/>
                    </a:stretch>
                  </pic:blipFill>
                  <pic:spPr>
                    <a:xfrm>
                      <a:off x="0" y="0"/>
                      <a:ext cx="2809875" cy="1438275"/>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．配制植物组织培养的培养基时，使用蔗糖的目的仅为提供碳源</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．图中的各种离子跨</w:t>
      </w:r>
      <w:r>
        <w:rPr>
          <w:rFonts w:ascii="Times New Roman" w:hAnsi="Times New Roman"/>
        </w:rPr>
        <w:t>膜进入</w:t>
      </w:r>
      <w:r>
        <w:rPr>
          <w:rFonts w:ascii="Times New Roman" w:hAnsi="Times New Roman"/>
        </w:rPr>
        <w:t>液泡的运输方式相同</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．液泡通过被动运输方式维持膜内外的</w:t>
      </w:r>
      <w:r>
        <w:rPr>
          <w:rFonts w:ascii="Times New Roman" w:hAnsi="Times New Roman"/>
        </w:rPr>
        <w:t>H</w:t>
      </w:r>
      <w:r>
        <w:rPr>
          <w:rFonts w:ascii="Times New Roman" w:hAnsi="Times New Roman"/>
          <w:vertAlign w:val="superscript"/>
        </w:rPr>
        <w:t>+</w:t>
      </w:r>
      <w:r>
        <w:rPr>
          <w:rFonts w:ascii="Times New Roman" w:hAnsi="Times New Roman"/>
        </w:rPr>
        <w:t>浓度梯度</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．细胞质基质中的蔗糖以主动运输的方式进入液泡</w:t>
      </w:r>
    </w:p>
    <w:p w:rsidR="002B368A" w:rsidP="002B368A">
      <w:pPr>
        <w:spacing w:line="288" w:lineRule="auto"/>
        <w:jc w:val="left"/>
        <w:rPr>
          <w:rFonts w:ascii="Times New Roman" w:hAnsi="Times New Roman"/>
        </w:rPr>
      </w:pPr>
      <w:r>
        <w:rPr>
          <w:rFonts w:ascii="Times New Roman" w:hAnsi="Times New Roman"/>
        </w:rPr>
        <w:t>4</w:t>
      </w:r>
      <w:r>
        <w:rPr>
          <w:rFonts w:ascii="Times New Roman" w:hAnsi="Times New Roman"/>
        </w:rPr>
        <w:t>．盐胁迫会使植物体内产生大量的活性氧（</w:t>
      </w:r>
      <w:r>
        <w:rPr>
          <w:rFonts w:ascii="Times New Roman" w:hAnsi="Times New Roman"/>
        </w:rPr>
        <w:t>ROS</w:t>
      </w:r>
      <w:r>
        <w:rPr>
          <w:rFonts w:ascii="Times New Roman" w:hAnsi="Times New Roman"/>
        </w:rPr>
        <w:t>，为自由基）。</w:t>
      </w:r>
      <w:r>
        <w:rPr>
          <w:rFonts w:ascii="Times New Roman" w:hAnsi="Times New Roman"/>
        </w:rPr>
        <w:t>S-</w:t>
      </w:r>
      <w:r>
        <w:rPr>
          <w:rFonts w:ascii="Times New Roman" w:hAnsi="Times New Roman"/>
        </w:rPr>
        <w:t>腺苷甲硫氨酸（</w:t>
      </w:r>
      <w:r>
        <w:rPr>
          <w:rFonts w:ascii="Times New Roman" w:hAnsi="Times New Roman"/>
        </w:rPr>
        <w:t>SAM</w:t>
      </w:r>
      <w:r>
        <w:rPr>
          <w:rFonts w:ascii="Times New Roman" w:hAnsi="Times New Roman"/>
        </w:rPr>
        <w:t>）参与谷胱甘肽等物质的合成，谷胱甘肽能清除</w:t>
      </w:r>
      <w:r>
        <w:rPr>
          <w:rFonts w:ascii="Times New Roman" w:hAnsi="Times New Roman"/>
        </w:rPr>
        <w:t>ROS</w:t>
      </w:r>
      <w:r>
        <w:rPr>
          <w:rFonts w:ascii="Times New Roman" w:hAnsi="Times New Roman"/>
        </w:rPr>
        <w:t>，减轻氧化损伤。菠菜细胞中的</w:t>
      </w:r>
      <w:r>
        <w:rPr>
          <w:rFonts w:ascii="Times New Roman" w:hAnsi="Times New Roman"/>
        </w:rPr>
        <w:t>SAM</w:t>
      </w:r>
      <w:r>
        <w:rPr>
          <w:rFonts w:ascii="Times New Roman" w:hAnsi="Times New Roman"/>
        </w:rPr>
        <w:t>参与小分子物质甜菜碱的合成，甜菜碱积累能平衡细胞内外的渗透压。下列相关分析错误的是（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．谷胱甘肽与</w:t>
      </w:r>
      <w:r>
        <w:rPr>
          <w:rFonts w:ascii="Times New Roman" w:hAnsi="Times New Roman"/>
        </w:rPr>
        <w:t>SAM</w:t>
      </w:r>
      <w:r>
        <w:rPr>
          <w:rFonts w:ascii="Times New Roman" w:hAnsi="Times New Roman"/>
        </w:rPr>
        <w:t>合成酶都是在核糖体上合成的</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．盐胁迫会引起膜结构损伤，增加基因突变的风险</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．盐胁迫会引起菠菜</w:t>
      </w:r>
      <w:r>
        <w:rPr>
          <w:rFonts w:ascii="Times New Roman" w:hAnsi="Times New Roman"/>
        </w:rPr>
        <w:t>SAM</w:t>
      </w:r>
      <w:r>
        <w:rPr>
          <w:rFonts w:ascii="Times New Roman" w:hAnsi="Times New Roman"/>
        </w:rPr>
        <w:t>合成酶基因的表达量增大</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．菠菜细胞内甜菜碱积累过多会引起细胞渗透失水</w:t>
      </w:r>
    </w:p>
    <w:p w:rsidR="002B368A" w:rsidP="002B368A">
      <w:pPr>
        <w:spacing w:line="288" w:lineRule="auto"/>
        <w:jc w:val="left"/>
        <w:rPr>
          <w:rFonts w:ascii="Times New Roman" w:hAnsi="Times New Roman"/>
        </w:rPr>
      </w:pPr>
      <w:r>
        <w:rPr>
          <w:rFonts w:ascii="Times New Roman" w:hAnsi="Times New Roman"/>
        </w:rPr>
        <w:t>5</w:t>
      </w:r>
      <w:r>
        <w:rPr>
          <w:rFonts w:ascii="Times New Roman" w:hAnsi="Times New Roman"/>
        </w:rPr>
        <w:t>．下列关于生物学教材中相关实验的叙述，错误的是（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．在水浴加热条件下，麦芽糖与斐林试剂反应产生砖红色沉淀</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．探究酵母菌细胞呼吸方式的实验中，无氧组的培养时间要适当缩短</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．分离绿叶中的色素时，滤纸条上离滤液细线最近的色素带呈黄绿色</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．低温诱导细胞染色体数目变化的实验中，卡诺氏液有固定细胞形态的作用</w:t>
      </w:r>
    </w:p>
    <w:p w:rsidR="002B368A" w:rsidP="002B368A">
      <w:pPr>
        <w:spacing w:line="288" w:lineRule="auto"/>
        <w:jc w:val="left"/>
        <w:rPr>
          <w:rFonts w:ascii="Times New Roman" w:hAnsi="Times New Roman"/>
        </w:rPr>
      </w:pPr>
      <w:r>
        <w:rPr>
          <w:rFonts w:ascii="Times New Roman" w:hAnsi="Times New Roman"/>
        </w:rPr>
        <w:t>6</w:t>
      </w:r>
      <w:r>
        <w:rPr>
          <w:rFonts w:ascii="Times New Roman" w:hAnsi="Times New Roman"/>
        </w:rPr>
        <w:t>．雌、雄果蝇减数分裂某时期的细胞分裂图像如图所示。雌果蝇的基因型为</w:t>
      </w:r>
      <w:r>
        <w:rPr>
          <w:rFonts w:ascii="Times New Roman" w:hAnsi="Times New Roman"/>
        </w:rPr>
        <w:t>AaX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rPr>
        <w:t>，雄果蝇的基因型为</w:t>
      </w:r>
      <w:r>
        <w:rPr>
          <w:rFonts w:ascii="Times New Roman" w:hAnsi="Times New Roman"/>
        </w:rPr>
        <w:t>AAX</w:t>
      </w:r>
      <w:r>
        <w:rPr>
          <w:rFonts w:ascii="Times New Roman" w:hAnsi="Times New Roman"/>
          <w:vertAlign w:val="superscript"/>
        </w:rPr>
        <w:t>B</w:t>
      </w:r>
      <w:r>
        <w:rPr>
          <w:rFonts w:ascii="Times New Roman" w:hAnsi="Times New Roman"/>
        </w:rPr>
        <w:t>Y</w:t>
      </w:r>
      <w:r>
        <w:rPr>
          <w:rFonts w:ascii="Times New Roman" w:hAnsi="Times New Roman"/>
        </w:rPr>
        <w:t>。不考虑除图示变异外的其他变异，下列分析正确的是（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4438650" cy="1962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xmlns:r="http://schemas.openxmlformats.org/officeDocument/2006/relationships" r:embed="rId8"/>
                    <a:stretch>
                      <a:fillRect/>
                    </a:stretch>
                  </pic:blipFill>
                  <pic:spPr>
                    <a:xfrm>
                      <a:off x="0" y="0"/>
                      <a:ext cx="4438650" cy="1962150"/>
                    </a:xfrm>
                    <a:prstGeom prst="rect">
                      <a:avLst/>
                    </a:prstGeom>
                  </pic:spPr>
                </pic:pic>
              </a:graphicData>
            </a:graphic>
          </wp:inline>
        </w:drawing>
      </w:r>
    </w:p>
    <w:p w:rsidR="002B368A" w:rsidP="002B368A">
      <w:pPr>
        <w:spacing w:line="288" w:lineRule="auto"/>
        <w:jc w:val="left"/>
        <w:rPr>
          <w:rFonts w:ascii="Times New Roman" w:hAnsi="Times New Roman"/>
        </w:rPr>
      </w:pPr>
      <w:r>
        <w:rPr>
          <w:rFonts w:ascii="宋体" w:hAnsi="宋体" w:cs="宋体" w:hint="eastAsia"/>
        </w:rPr>
        <w:t>①</w:t>
      </w:r>
      <w:r>
        <w:rPr>
          <w:rFonts w:ascii="Times New Roman" w:hAnsi="Times New Roman"/>
        </w:rPr>
        <w:t>甲细胞分裂产生的次级卵母细胞的基因型为</w:t>
      </w:r>
      <w:r>
        <w:rPr>
          <w:rFonts w:ascii="Times New Roman" w:hAnsi="Times New Roman"/>
        </w:rPr>
        <w:t>AaX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宋体" w:hAnsi="宋体" w:cs="宋体" w:hint="eastAsia"/>
        </w:rPr>
        <w:t>②</w:t>
      </w:r>
      <w:r>
        <w:rPr>
          <w:rFonts w:ascii="Times New Roman" w:hAnsi="Times New Roman"/>
        </w:rPr>
        <w:t>乙细胞发生的变异类型是生物变异的根本来源</w:t>
      </w:r>
      <w:r>
        <w:rPr>
          <w:rFonts w:ascii="宋体" w:hAnsi="宋体" w:cs="宋体" w:hint="eastAsia"/>
        </w:rPr>
        <w:t>③</w:t>
      </w:r>
      <w:r>
        <w:rPr>
          <w:rFonts w:ascii="Times New Roman" w:hAnsi="Times New Roman"/>
        </w:rPr>
        <w:t>与乙细胞同时产生的另一个细胞的基因型是</w:t>
      </w:r>
      <w:r>
        <w:rPr>
          <w:rFonts w:ascii="Times New Roman" w:hAnsi="Times New Roman"/>
        </w:rPr>
        <w:t>AAX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宋体" w:hAnsi="宋体" w:cs="宋体" w:hint="eastAsia"/>
        </w:rPr>
        <w:t>④</w:t>
      </w:r>
      <w:r>
        <w:rPr>
          <w:rFonts w:ascii="Times New Roman" w:hAnsi="Times New Roman"/>
        </w:rPr>
        <w:t>甲、乙细胞继续分裂，会产生</w:t>
      </w:r>
      <w:r>
        <w:rPr>
          <w:rFonts w:ascii="Times New Roman" w:hAnsi="Times New Roman"/>
        </w:rPr>
        <w:t>4</w:t>
      </w:r>
      <w:r>
        <w:rPr>
          <w:rFonts w:ascii="Times New Roman" w:hAnsi="Times New Roman"/>
        </w:rPr>
        <w:t>种基因型的配子</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宋体" w:hAnsi="宋体" w:cs="宋体" w:hint="eastAsia"/>
        </w:rPr>
        <w:t>①</w:t>
      </w: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w:t>
      </w:r>
      <w:r>
        <w:rPr>
          <w:rFonts w:ascii="宋体" w:hAnsi="宋体" w:cs="宋体" w:hint="eastAsia"/>
        </w:rPr>
        <w:t>②③</w:t>
      </w: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w:t>
      </w:r>
      <w:r>
        <w:rPr>
          <w:rFonts w:ascii="宋体" w:hAnsi="宋体" w:cs="宋体" w:hint="eastAsia"/>
        </w:rPr>
        <w:t>②③④</w:t>
      </w: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w:t>
      </w:r>
      <w:r>
        <w:rPr>
          <w:rFonts w:ascii="宋体" w:hAnsi="宋体" w:cs="宋体" w:hint="eastAsia"/>
        </w:rPr>
        <w:t>④</w:t>
      </w:r>
    </w:p>
    <w:p w:rsidR="002B368A" w:rsidP="002B368A">
      <w:pPr>
        <w:spacing w:line="288" w:lineRule="auto"/>
        <w:jc w:val="left"/>
        <w:rPr>
          <w:rFonts w:ascii="Times New Roman" w:hAnsi="Times New Roman"/>
        </w:rPr>
      </w:pPr>
      <w:r>
        <w:rPr>
          <w:rFonts w:ascii="Times New Roman" w:hAnsi="Times New Roman"/>
        </w:rPr>
        <w:t>7</w:t>
      </w:r>
      <w:r>
        <w:rPr>
          <w:rFonts w:ascii="Times New Roman" w:hAnsi="Times New Roman"/>
        </w:rPr>
        <w:t>．下列关于生物进化的叙述，错误的是（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．羚羊与猎豹在漫长的进化过程中协同进化</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．依据</w:t>
      </w:r>
      <w:r>
        <w:rPr>
          <w:rFonts w:ascii="Times New Roman" w:hAnsi="Times New Roman"/>
        </w:rPr>
        <w:t>“</w:t>
      </w:r>
      <w:r>
        <w:rPr>
          <w:rFonts w:ascii="Times New Roman" w:hAnsi="Times New Roman"/>
        </w:rPr>
        <w:t>收割理论</w:t>
      </w:r>
      <w:r>
        <w:rPr>
          <w:rFonts w:ascii="Times New Roman" w:hAnsi="Times New Roman"/>
        </w:rPr>
        <w:t>”</w:t>
      </w:r>
      <w:r>
        <w:rPr>
          <w:rFonts w:ascii="Times New Roman" w:hAnsi="Times New Roman"/>
        </w:rPr>
        <w:t>，捕食者的存在有利于增加物种多样性</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．若种群的个体之间自由交配，则基因频率不会发生改变</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．隔离是物种形成的必要条件，生物进化的实质是基因频率的定向改变</w:t>
      </w:r>
    </w:p>
    <w:p w:rsidR="002B368A" w:rsidP="002B368A">
      <w:pPr>
        <w:spacing w:line="288" w:lineRule="auto"/>
        <w:jc w:val="left"/>
        <w:rPr>
          <w:rFonts w:ascii="Times New Roman" w:hAnsi="Times New Roman"/>
        </w:rPr>
      </w:pPr>
      <w:r>
        <w:rPr>
          <w:rFonts w:ascii="Times New Roman" w:hAnsi="Times New Roman"/>
        </w:rPr>
        <w:t>8</w:t>
      </w:r>
      <w:r>
        <w:rPr>
          <w:rFonts w:ascii="Times New Roman" w:hAnsi="Times New Roman"/>
        </w:rPr>
        <w:t>．粗糙脉</w:t>
      </w:r>
      <w:r>
        <w:rPr>
          <w:rFonts w:ascii="Times New Roman" w:hAnsi="Times New Roman"/>
        </w:rPr>
        <w:t>孢</w:t>
      </w:r>
      <w:r>
        <w:rPr>
          <w:rFonts w:ascii="Times New Roman" w:hAnsi="Times New Roman"/>
        </w:rPr>
        <w:t>霉突变后，自身合成某种氨基酸的代谢途径出现缺陷。实验小组为检测该突变株的氨基酸缺陷类型，在相同培养温度和时间的条件下进行实验，结果如表所示。下列叙述正确的是（</w:t>
      </w:r>
      <w:r>
        <w:rPr>
          <w:rFonts w:ascii="Times New Roman" w:hAnsi="Times New Roman"/>
        </w:rPr>
        <w:t xml:space="preserve">   </w:t>
      </w:r>
      <w:r>
        <w:rPr>
          <w:rFonts w:ascii="Times New Roman" w:hAnsi="Times New Roman"/>
        </w:rPr>
        <w:t>）</w:t>
      </w:r>
    </w:p>
    <w:tbl>
      <w:tblPr>
        <w:tblStyle w:val="TableGrid"/>
        <w:tblW w:w="0" w:type="auto"/>
        <w:tblLayout w:type="fixed"/>
        <w:tblLook w:val="04A0"/>
      </w:tblPr>
      <w:tblGrid>
        <w:gridCol w:w="636"/>
        <w:gridCol w:w="3576"/>
        <w:gridCol w:w="1056"/>
      </w:tblGrid>
      <w:tr w:rsidTr="0008332B">
        <w:tblPrEx>
          <w:tblW w:w="0" w:type="auto"/>
          <w:tblLayout w:type="fixed"/>
          <w:tblLook w:val="04A0"/>
        </w:tblPrEx>
        <w:tc>
          <w:tcPr>
            <w:tcW w:w="636" w:type="dxa"/>
          </w:tcPr>
          <w:p w:rsidR="002B368A" w:rsidP="0008332B">
            <w:pPr>
              <w:spacing w:line="288" w:lineRule="auto"/>
              <w:jc w:val="left"/>
              <w:rPr>
                <w:rFonts w:ascii="Times New Roman" w:hAnsi="Times New Roman"/>
              </w:rPr>
            </w:pPr>
            <w:r>
              <w:rPr>
                <w:rFonts w:ascii="Times New Roman" w:hAnsi="Times New Roman"/>
              </w:rPr>
              <w:t>组别</w:t>
            </w:r>
          </w:p>
        </w:tc>
        <w:tc>
          <w:tcPr>
            <w:tcW w:w="3576" w:type="dxa"/>
          </w:tcPr>
          <w:p w:rsidR="002B368A" w:rsidP="0008332B">
            <w:pPr>
              <w:spacing w:line="288" w:lineRule="auto"/>
              <w:jc w:val="left"/>
              <w:rPr>
                <w:rFonts w:ascii="Times New Roman" w:hAnsi="Times New Roman"/>
              </w:rPr>
            </w:pPr>
            <w:r>
              <w:rPr>
                <w:rFonts w:ascii="Times New Roman" w:hAnsi="Times New Roman"/>
              </w:rPr>
              <w:t>培养条件</w:t>
            </w:r>
          </w:p>
        </w:tc>
        <w:tc>
          <w:tcPr>
            <w:tcW w:w="1056" w:type="dxa"/>
          </w:tcPr>
          <w:p w:rsidR="002B368A" w:rsidP="0008332B">
            <w:pPr>
              <w:spacing w:line="288" w:lineRule="auto"/>
              <w:jc w:val="left"/>
              <w:rPr>
                <w:rFonts w:ascii="Times New Roman" w:hAnsi="Times New Roman"/>
              </w:rPr>
            </w:pPr>
            <w:r>
              <w:rPr>
                <w:rFonts w:ascii="Times New Roman" w:hAnsi="Times New Roman"/>
              </w:rPr>
              <w:t>实验结果</w:t>
            </w:r>
          </w:p>
        </w:tc>
      </w:tr>
      <w:tr w:rsidTr="0008332B">
        <w:tblPrEx>
          <w:tblW w:w="0" w:type="auto"/>
          <w:tblLayout w:type="fixed"/>
          <w:tblLook w:val="04A0"/>
        </w:tblPrEx>
        <w:tc>
          <w:tcPr>
            <w:tcW w:w="636" w:type="dxa"/>
          </w:tcPr>
          <w:p w:rsidR="002B368A" w:rsidP="0008332B">
            <w:pPr>
              <w:spacing w:line="288" w:lineRule="auto"/>
              <w:jc w:val="left"/>
              <w:rPr>
                <w:rFonts w:ascii="Times New Roman" w:hAnsi="Times New Roman"/>
              </w:rPr>
            </w:pPr>
            <w:r>
              <w:rPr>
                <w:rFonts w:ascii="宋体" w:hAnsi="宋体" w:cs="宋体" w:hint="eastAsia"/>
              </w:rPr>
              <w:t>①</w:t>
            </w:r>
          </w:p>
        </w:tc>
        <w:tc>
          <w:tcPr>
            <w:tcW w:w="3576" w:type="dxa"/>
          </w:tcPr>
          <w:p w:rsidR="002B368A" w:rsidP="0008332B">
            <w:pPr>
              <w:spacing w:line="288" w:lineRule="auto"/>
              <w:jc w:val="left"/>
              <w:rPr>
                <w:rFonts w:ascii="Times New Roman" w:hAnsi="Times New Roman"/>
              </w:rPr>
            </w:pPr>
            <w:r>
              <w:rPr>
                <w:rFonts w:ascii="Times New Roman" w:hAnsi="Times New Roman"/>
              </w:rPr>
              <w:t>基础培养基</w:t>
            </w:r>
          </w:p>
        </w:tc>
        <w:tc>
          <w:tcPr>
            <w:tcW w:w="1056" w:type="dxa"/>
          </w:tcPr>
          <w:p w:rsidR="002B368A" w:rsidP="0008332B">
            <w:pPr>
              <w:spacing w:line="288" w:lineRule="auto"/>
              <w:jc w:val="left"/>
              <w:rPr>
                <w:rFonts w:ascii="Times New Roman" w:hAnsi="Times New Roman"/>
              </w:rPr>
            </w:pPr>
            <w:r>
              <w:rPr>
                <w:rFonts w:ascii="Times New Roman" w:hAnsi="Times New Roman"/>
              </w:rPr>
              <w:t>无法生长</w:t>
            </w:r>
          </w:p>
        </w:tc>
      </w:tr>
      <w:tr w:rsidTr="0008332B">
        <w:tblPrEx>
          <w:tblW w:w="0" w:type="auto"/>
          <w:tblLayout w:type="fixed"/>
          <w:tblLook w:val="04A0"/>
        </w:tblPrEx>
        <w:tc>
          <w:tcPr>
            <w:tcW w:w="636" w:type="dxa"/>
          </w:tcPr>
          <w:p w:rsidR="002B368A" w:rsidP="0008332B">
            <w:pPr>
              <w:spacing w:line="288" w:lineRule="auto"/>
              <w:jc w:val="left"/>
              <w:rPr>
                <w:rFonts w:ascii="Times New Roman" w:hAnsi="Times New Roman"/>
              </w:rPr>
            </w:pPr>
            <w:r>
              <w:rPr>
                <w:rFonts w:ascii="宋体" w:hAnsi="宋体" w:cs="宋体" w:hint="eastAsia"/>
              </w:rPr>
              <w:t>②</w:t>
            </w:r>
          </w:p>
        </w:tc>
        <w:tc>
          <w:tcPr>
            <w:tcW w:w="3576" w:type="dxa"/>
          </w:tcPr>
          <w:p w:rsidR="002B368A" w:rsidP="0008332B">
            <w:pPr>
              <w:spacing w:line="288" w:lineRule="auto"/>
              <w:jc w:val="left"/>
              <w:rPr>
                <w:rFonts w:ascii="Times New Roman" w:hAnsi="Times New Roman"/>
              </w:rPr>
            </w:pPr>
            <w:r>
              <w:rPr>
                <w:rFonts w:ascii="Times New Roman" w:hAnsi="Times New Roman"/>
              </w:rPr>
              <w:t>基础培养基</w:t>
            </w:r>
            <w:r>
              <w:rPr>
                <w:rFonts w:ascii="Times New Roman" w:hAnsi="Times New Roman" w:hint="eastAsia"/>
              </w:rPr>
              <w:t>+</w:t>
            </w:r>
            <w:r>
              <w:rPr>
                <w:rFonts w:ascii="Times New Roman" w:hAnsi="Times New Roman"/>
              </w:rPr>
              <w:t>甲、乙</w:t>
            </w:r>
            <w:r>
              <w:rPr>
                <w:rFonts w:ascii="Times New Roman" w:hAnsi="Times New Roman"/>
              </w:rPr>
              <w:t>2</w:t>
            </w:r>
            <w:r>
              <w:rPr>
                <w:rFonts w:ascii="Times New Roman" w:hAnsi="Times New Roman"/>
              </w:rPr>
              <w:t>种氨基酸</w:t>
            </w:r>
          </w:p>
        </w:tc>
        <w:tc>
          <w:tcPr>
            <w:tcW w:w="1056" w:type="dxa"/>
          </w:tcPr>
          <w:p w:rsidR="002B368A" w:rsidP="0008332B">
            <w:pPr>
              <w:spacing w:line="288" w:lineRule="auto"/>
              <w:jc w:val="left"/>
              <w:rPr>
                <w:rFonts w:ascii="Times New Roman" w:hAnsi="Times New Roman"/>
              </w:rPr>
            </w:pPr>
            <w:r>
              <w:rPr>
                <w:rFonts w:ascii="Times New Roman" w:hAnsi="Times New Roman"/>
              </w:rPr>
              <w:t>无法生长</w:t>
            </w:r>
          </w:p>
        </w:tc>
      </w:tr>
      <w:tr w:rsidTr="0008332B">
        <w:tblPrEx>
          <w:tblW w:w="0" w:type="auto"/>
          <w:tblLayout w:type="fixed"/>
          <w:tblLook w:val="04A0"/>
        </w:tblPrEx>
        <w:tc>
          <w:tcPr>
            <w:tcW w:w="636" w:type="dxa"/>
          </w:tcPr>
          <w:p w:rsidR="002B368A" w:rsidP="0008332B">
            <w:pPr>
              <w:spacing w:line="288" w:lineRule="auto"/>
              <w:jc w:val="left"/>
              <w:rPr>
                <w:rFonts w:ascii="Times New Roman" w:hAnsi="Times New Roman"/>
              </w:rPr>
            </w:pPr>
            <w:r>
              <w:rPr>
                <w:rFonts w:ascii="宋体" w:hAnsi="宋体" w:cs="宋体" w:hint="eastAsia"/>
              </w:rPr>
              <w:t>③</w:t>
            </w:r>
          </w:p>
        </w:tc>
        <w:tc>
          <w:tcPr>
            <w:tcW w:w="3576" w:type="dxa"/>
          </w:tcPr>
          <w:p w:rsidR="002B368A" w:rsidP="0008332B">
            <w:pPr>
              <w:spacing w:line="288" w:lineRule="auto"/>
              <w:jc w:val="left"/>
              <w:rPr>
                <w:rFonts w:ascii="Times New Roman" w:hAnsi="Times New Roman"/>
              </w:rPr>
            </w:pPr>
            <w:r>
              <w:rPr>
                <w:rFonts w:ascii="Times New Roman" w:hAnsi="Times New Roman"/>
              </w:rPr>
              <w:t>基础培养基</w:t>
            </w:r>
            <w:r>
              <w:rPr>
                <w:rFonts w:ascii="Times New Roman" w:hAnsi="Times New Roman" w:hint="eastAsia"/>
              </w:rPr>
              <w:t>+</w:t>
            </w:r>
            <w:r>
              <w:rPr>
                <w:rFonts w:ascii="Times New Roman" w:hAnsi="Times New Roman"/>
              </w:rPr>
              <w:t>乙、丙</w:t>
            </w:r>
            <w:r>
              <w:rPr>
                <w:rFonts w:ascii="Times New Roman" w:hAnsi="Times New Roman"/>
              </w:rPr>
              <w:t>2</w:t>
            </w:r>
            <w:r>
              <w:rPr>
                <w:rFonts w:ascii="Times New Roman" w:hAnsi="Times New Roman"/>
              </w:rPr>
              <w:t>种氨基酸</w:t>
            </w:r>
          </w:p>
        </w:tc>
        <w:tc>
          <w:tcPr>
            <w:tcW w:w="1056" w:type="dxa"/>
          </w:tcPr>
          <w:p w:rsidR="002B368A" w:rsidP="0008332B">
            <w:pPr>
              <w:spacing w:line="288" w:lineRule="auto"/>
              <w:jc w:val="left"/>
              <w:rPr>
                <w:rFonts w:ascii="Times New Roman" w:hAnsi="Times New Roman"/>
              </w:rPr>
            </w:pPr>
            <w:r>
              <w:rPr>
                <w:rFonts w:ascii="Times New Roman" w:hAnsi="Times New Roman"/>
              </w:rPr>
              <w:t>正常生长</w:t>
            </w:r>
          </w:p>
        </w:tc>
      </w:tr>
      <w:tr w:rsidTr="0008332B">
        <w:tblPrEx>
          <w:tblW w:w="0" w:type="auto"/>
          <w:tblLayout w:type="fixed"/>
          <w:tblLook w:val="04A0"/>
        </w:tblPrEx>
        <w:tc>
          <w:tcPr>
            <w:tcW w:w="636" w:type="dxa"/>
          </w:tcPr>
          <w:p w:rsidR="002B368A" w:rsidP="0008332B">
            <w:pPr>
              <w:spacing w:line="288" w:lineRule="auto"/>
              <w:jc w:val="left"/>
              <w:rPr>
                <w:rFonts w:ascii="Times New Roman" w:hAnsi="Times New Roman"/>
              </w:rPr>
            </w:pPr>
            <w:r>
              <w:rPr>
                <w:rFonts w:ascii="宋体" w:hAnsi="宋体" w:cs="宋体" w:hint="eastAsia"/>
              </w:rPr>
              <w:t>④</w:t>
            </w:r>
          </w:p>
        </w:tc>
        <w:tc>
          <w:tcPr>
            <w:tcW w:w="3576" w:type="dxa"/>
          </w:tcPr>
          <w:p w:rsidR="002B368A" w:rsidP="0008332B">
            <w:pPr>
              <w:spacing w:line="288" w:lineRule="auto"/>
              <w:jc w:val="left"/>
              <w:rPr>
                <w:rFonts w:ascii="Times New Roman" w:hAnsi="Times New Roman"/>
              </w:rPr>
            </w:pPr>
            <w:r>
              <w:rPr>
                <w:rFonts w:ascii="Times New Roman" w:hAnsi="Times New Roman"/>
              </w:rPr>
              <w:t>基础培养基</w:t>
            </w:r>
            <w:r>
              <w:rPr>
                <w:rFonts w:ascii="Times New Roman" w:hAnsi="Times New Roman" w:hint="eastAsia"/>
              </w:rPr>
              <w:t>+</w:t>
            </w:r>
            <w:r>
              <w:rPr>
                <w:rFonts w:ascii="Times New Roman" w:hAnsi="Times New Roman"/>
              </w:rPr>
              <w:t>甲、丙</w:t>
            </w:r>
            <w:r>
              <w:rPr>
                <w:rFonts w:ascii="Times New Roman" w:hAnsi="Times New Roman"/>
              </w:rPr>
              <w:t>2</w:t>
            </w:r>
            <w:r>
              <w:rPr>
                <w:rFonts w:ascii="Times New Roman" w:hAnsi="Times New Roman"/>
              </w:rPr>
              <w:t>种氨基酸</w:t>
            </w:r>
          </w:p>
        </w:tc>
        <w:tc>
          <w:tcPr>
            <w:tcW w:w="1056" w:type="dxa"/>
          </w:tcPr>
          <w:p w:rsidR="002B368A" w:rsidP="0008332B">
            <w:pPr>
              <w:rPr>
                <w:rFonts w:ascii="Times New Roman" w:hAnsi="Times New Roman"/>
              </w:rPr>
            </w:pPr>
            <w:r>
              <w:rPr>
                <w:rFonts w:ascii="Times New Roman" w:hAnsi="Times New Roman"/>
              </w:rPr>
              <w:t>正常生长</w:t>
            </w:r>
          </w:p>
        </w:tc>
      </w:tr>
      <w:tr w:rsidTr="0008332B">
        <w:tblPrEx>
          <w:tblW w:w="0" w:type="auto"/>
          <w:tblLayout w:type="fixed"/>
          <w:tblLook w:val="04A0"/>
        </w:tblPrEx>
        <w:tc>
          <w:tcPr>
            <w:tcW w:w="636" w:type="dxa"/>
          </w:tcPr>
          <w:p w:rsidR="002B368A" w:rsidP="0008332B">
            <w:pPr>
              <w:spacing w:line="288" w:lineRule="auto"/>
              <w:jc w:val="left"/>
              <w:rPr>
                <w:rFonts w:ascii="Times New Roman" w:hAnsi="Times New Roman"/>
              </w:rPr>
            </w:pPr>
            <w:r>
              <w:rPr>
                <w:rFonts w:ascii="宋体" w:hAnsi="宋体" w:cs="宋体" w:hint="eastAsia"/>
              </w:rPr>
              <w:t>⑤</w:t>
            </w:r>
          </w:p>
        </w:tc>
        <w:tc>
          <w:tcPr>
            <w:tcW w:w="3576" w:type="dxa"/>
          </w:tcPr>
          <w:p w:rsidR="002B368A" w:rsidP="0008332B">
            <w:pPr>
              <w:spacing w:line="288" w:lineRule="auto"/>
              <w:jc w:val="left"/>
              <w:rPr>
                <w:rFonts w:ascii="Times New Roman" w:hAnsi="Times New Roman"/>
              </w:rPr>
            </w:pPr>
            <w:r>
              <w:rPr>
                <w:rFonts w:ascii="Times New Roman" w:hAnsi="Times New Roman"/>
              </w:rPr>
              <w:t>基础培养基</w:t>
            </w:r>
            <w:r>
              <w:rPr>
                <w:rFonts w:ascii="Times New Roman" w:hAnsi="Times New Roman" w:hint="eastAsia"/>
              </w:rPr>
              <w:t>+</w:t>
            </w:r>
            <w:r>
              <w:rPr>
                <w:rFonts w:ascii="Times New Roman" w:hAnsi="Times New Roman"/>
              </w:rPr>
              <w:t>甲、乙、丙</w:t>
            </w:r>
            <w:r>
              <w:rPr>
                <w:rFonts w:ascii="Times New Roman" w:hAnsi="Times New Roman"/>
              </w:rPr>
              <w:t>3</w:t>
            </w:r>
            <w:r>
              <w:rPr>
                <w:rFonts w:ascii="Times New Roman" w:hAnsi="Times New Roman"/>
              </w:rPr>
              <w:t>种氨基酸</w:t>
            </w:r>
          </w:p>
        </w:tc>
        <w:tc>
          <w:tcPr>
            <w:tcW w:w="1056" w:type="dxa"/>
          </w:tcPr>
          <w:p w:rsidR="002B368A" w:rsidP="0008332B">
            <w:pPr>
              <w:rPr>
                <w:rFonts w:ascii="Times New Roman" w:hAnsi="Times New Roman"/>
              </w:rPr>
            </w:pPr>
            <w:r>
              <w:rPr>
                <w:rFonts w:ascii="Times New Roman" w:hAnsi="Times New Roman"/>
              </w:rPr>
              <w:t>正常生长</w:t>
            </w:r>
          </w:p>
        </w:tc>
      </w:tr>
    </w:tbl>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．粗糙脉</w:t>
      </w:r>
      <w:r>
        <w:rPr>
          <w:rFonts w:ascii="Times New Roman" w:hAnsi="Times New Roman"/>
        </w:rPr>
        <w:t>孢霉中</w:t>
      </w:r>
      <w:r>
        <w:rPr>
          <w:rFonts w:ascii="Times New Roman" w:hAnsi="Times New Roman"/>
        </w:rPr>
        <w:t>不存在染色体结构变异</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．该实验采用了</w:t>
      </w:r>
      <w:r>
        <w:rPr>
          <w:rFonts w:ascii="Times New Roman" w:hAnsi="Times New Roman"/>
        </w:rPr>
        <w:t>“</w:t>
      </w:r>
      <w:r>
        <w:rPr>
          <w:rFonts w:ascii="Times New Roman" w:hAnsi="Times New Roman"/>
        </w:rPr>
        <w:t>加法原理</w:t>
      </w:r>
      <w:r>
        <w:rPr>
          <w:rFonts w:ascii="Times New Roman" w:hAnsi="Times New Roman"/>
        </w:rPr>
        <w:t>”</w:t>
      </w:r>
      <w:r>
        <w:rPr>
          <w:rFonts w:ascii="Times New Roman" w:hAnsi="Times New Roman"/>
        </w:rPr>
        <w:t>来控制因变量</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宋体" w:hAnsi="宋体" w:cs="宋体" w:hint="eastAsia"/>
        </w:rPr>
        <w:t>①②③④</w:t>
      </w:r>
      <w:r>
        <w:rPr>
          <w:rFonts w:ascii="Times New Roman" w:hAnsi="Times New Roman"/>
        </w:rPr>
        <w:t>的结果表明，该突变株为乙或丙氨基酸缺陷型</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宋体" w:hAnsi="宋体" w:cs="宋体" w:hint="eastAsia"/>
        </w:rPr>
        <w:t>①④</w:t>
      </w:r>
      <w:r>
        <w:rPr>
          <w:rFonts w:ascii="Times New Roman" w:hAnsi="Times New Roman"/>
        </w:rPr>
        <w:t>的结果表明，该突变株可能为甲或丙氨基酸缺陷型</w:t>
      </w:r>
    </w:p>
    <w:p w:rsidR="002B368A" w:rsidP="002B368A">
      <w:pPr>
        <w:spacing w:line="288" w:lineRule="auto"/>
        <w:jc w:val="left"/>
        <w:rPr>
          <w:rFonts w:ascii="Times New Roman" w:hAnsi="Times New Roman"/>
        </w:rPr>
      </w:pPr>
      <w:r>
        <w:rPr>
          <w:rFonts w:ascii="Times New Roman" w:hAnsi="Times New Roman"/>
        </w:rPr>
        <w:t>9</w:t>
      </w:r>
      <w:r>
        <w:rPr>
          <w:rFonts w:ascii="Times New Roman" w:hAnsi="Times New Roman"/>
        </w:rPr>
        <w:t>．血细胞包括红细胞、白细胞等，白细胞又分为吞噬细胞、</w:t>
      </w:r>
      <w:r>
        <w:rPr>
          <w:rFonts w:ascii="Times New Roman" w:hAnsi="Times New Roman"/>
        </w:rPr>
        <w:t>T</w:t>
      </w:r>
      <w:r>
        <w:rPr>
          <w:rFonts w:ascii="Times New Roman" w:hAnsi="Times New Roman"/>
        </w:rPr>
        <w:t>细胞和</w:t>
      </w:r>
      <w:r>
        <w:rPr>
          <w:rFonts w:ascii="Times New Roman" w:hAnsi="Times New Roman"/>
        </w:rPr>
        <w:t>B</w:t>
      </w:r>
      <w:r>
        <w:rPr>
          <w:rFonts w:ascii="Times New Roman" w:hAnsi="Times New Roman"/>
        </w:rPr>
        <w:t>细胞等，人体内不同血细胞的寿命一般不同，血液中的血细胞可以由造血干细胞增殖和分化形成。下列叙述正确的是（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．一般造血干细胞的细胞核的全能性大于</w:t>
      </w:r>
      <w:r>
        <w:rPr>
          <w:rFonts w:ascii="Times New Roman" w:hAnsi="Times New Roman"/>
        </w:rPr>
        <w:t>B</w:t>
      </w:r>
      <w:r>
        <w:rPr>
          <w:rFonts w:ascii="Times New Roman" w:hAnsi="Times New Roman"/>
        </w:rPr>
        <w:t>细胞的细胞核的全能性</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．造血干细胞与</w:t>
      </w:r>
      <w:r>
        <w:rPr>
          <w:rFonts w:ascii="Times New Roman" w:hAnsi="Times New Roman"/>
        </w:rPr>
        <w:t>T</w:t>
      </w:r>
      <w:r>
        <w:rPr>
          <w:rFonts w:ascii="Times New Roman" w:hAnsi="Times New Roman"/>
        </w:rPr>
        <w:t>细胞的核基因组成相同，基因表达情况也相同</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．细胞的寿命由其分裂能力决定，分裂能力越强，寿命越长</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．由</w:t>
      </w:r>
      <w:r>
        <w:rPr>
          <w:rFonts w:ascii="Times New Roman" w:hAnsi="Times New Roman"/>
        </w:rPr>
        <w:t>RNA</w:t>
      </w:r>
      <w:r>
        <w:rPr>
          <w:rFonts w:ascii="Times New Roman" w:hAnsi="Times New Roman"/>
        </w:rPr>
        <w:t>和蛋白质组成的端粒在每次细胞分裂后都会缩短</w:t>
      </w:r>
    </w:p>
    <w:p w:rsidR="002B368A" w:rsidP="002B368A">
      <w:pPr>
        <w:spacing w:line="288" w:lineRule="auto"/>
        <w:jc w:val="left"/>
        <w:rPr>
          <w:rFonts w:ascii="Times New Roman" w:hAnsi="Times New Roman"/>
        </w:rPr>
      </w:pPr>
      <w:r>
        <w:rPr>
          <w:rFonts w:ascii="Times New Roman" w:hAnsi="Times New Roman"/>
        </w:rPr>
        <w:t>10</w:t>
      </w:r>
      <w:r>
        <w:rPr>
          <w:rFonts w:ascii="Times New Roman" w:hAnsi="Times New Roman"/>
        </w:rPr>
        <w:t>．</w:t>
      </w:r>
      <w:r>
        <w:rPr>
          <w:rFonts w:ascii="Times New Roman" w:hAnsi="Times New Roman"/>
        </w:rPr>
        <w:t>齐多夫</w:t>
      </w:r>
      <w:r>
        <w:rPr>
          <w:rFonts w:ascii="Times New Roman" w:hAnsi="Times New Roman"/>
        </w:rPr>
        <w:t>定（</w:t>
      </w:r>
      <w:r>
        <w:rPr>
          <w:rFonts w:ascii="Times New Roman" w:hAnsi="Times New Roman"/>
        </w:rPr>
        <w:t>AZT</w:t>
      </w:r>
      <w:r>
        <w:rPr>
          <w:rFonts w:ascii="Times New Roman" w:hAnsi="Times New Roman"/>
        </w:rPr>
        <w:t>）能与逆转录酶结合并抑制酶的活性，是一种抗病毒药物，主要用于治疗人类免疫缺陷病毒（</w:t>
      </w:r>
      <w:r>
        <w:rPr>
          <w:rFonts w:ascii="Times New Roman" w:hAnsi="Times New Roman"/>
        </w:rPr>
        <w:t>HIV</w:t>
      </w:r>
      <w:r>
        <w:rPr>
          <w:rFonts w:ascii="Times New Roman" w:hAnsi="Times New Roman"/>
        </w:rPr>
        <w:t>）的感染。在</w:t>
      </w:r>
      <w:r>
        <w:rPr>
          <w:rFonts w:ascii="Times New Roman" w:hAnsi="Times New Roman"/>
        </w:rPr>
        <w:t>HIV</w:t>
      </w:r>
      <w:r>
        <w:rPr>
          <w:rFonts w:ascii="Times New Roman" w:hAnsi="Times New Roman"/>
        </w:rPr>
        <w:t>增殖的过程中，</w:t>
      </w:r>
      <w:r>
        <w:rPr>
          <w:rFonts w:ascii="Times New Roman" w:hAnsi="Times New Roman"/>
        </w:rPr>
        <w:t>AZT</w:t>
      </w:r>
      <w:r>
        <w:rPr>
          <w:rFonts w:ascii="Times New Roman" w:hAnsi="Times New Roman"/>
        </w:rPr>
        <w:t>发挥作用的环节是（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RNA</w:t>
      </w:r>
      <w:r>
        <w:rPr>
          <w:rFonts w:ascii="Times New Roman" w:hAnsi="Times New Roman"/>
        </w:rPr>
        <w:t>的释放和复制</w:t>
      </w: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w:t>
      </w:r>
      <w:r>
        <w:rPr>
          <w:rFonts w:ascii="Times New Roman" w:hAnsi="Times New Roman"/>
        </w:rPr>
        <w:t>RNA</w:t>
      </w:r>
      <w:r>
        <w:rPr>
          <w:rFonts w:ascii="Times New Roman" w:hAnsi="Times New Roman"/>
        </w:rPr>
        <w:t>翻译病毒蛋白</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DNA</w:t>
      </w:r>
      <w:r>
        <w:rPr>
          <w:rFonts w:ascii="Times New Roman" w:hAnsi="Times New Roman"/>
        </w:rPr>
        <w:t>转录生成</w:t>
      </w:r>
      <w:r>
        <w:rPr>
          <w:rFonts w:ascii="Times New Roman" w:hAnsi="Times New Roman"/>
        </w:rPr>
        <w:t>RNA</w:t>
      </w: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w:t>
      </w:r>
      <w:r>
        <w:rPr>
          <w:rFonts w:ascii="Times New Roman" w:hAnsi="Times New Roman"/>
        </w:rPr>
        <w:t>RNA</w:t>
      </w:r>
      <w:r>
        <w:rPr>
          <w:rFonts w:ascii="Times New Roman" w:hAnsi="Times New Roman"/>
        </w:rPr>
        <w:t>指导合成</w:t>
      </w:r>
      <w:r>
        <w:rPr>
          <w:rFonts w:ascii="Times New Roman" w:hAnsi="Times New Roman"/>
        </w:rPr>
        <w:t>DNA</w:t>
      </w:r>
    </w:p>
    <w:p w:rsidR="002B368A" w:rsidP="002B368A">
      <w:pPr>
        <w:spacing w:line="288" w:lineRule="auto"/>
        <w:jc w:val="left"/>
        <w:rPr>
          <w:rFonts w:ascii="Times New Roman" w:hAnsi="Times New Roman"/>
        </w:rPr>
      </w:pPr>
      <w:r>
        <w:rPr>
          <w:rFonts w:ascii="Times New Roman" w:hAnsi="Times New Roman"/>
        </w:rPr>
        <w:t>11</w:t>
      </w:r>
      <w:r>
        <w:rPr>
          <w:rFonts w:ascii="Times New Roman" w:hAnsi="Times New Roman"/>
        </w:rPr>
        <w:t>．研究小组观察了月季花瓣某细胞染色体的形态，视野如图</w:t>
      </w:r>
      <w:r>
        <w:rPr>
          <w:rFonts w:ascii="Times New Roman" w:hAnsi="Times New Roman"/>
        </w:rPr>
        <w:t>1</w:t>
      </w:r>
      <w:r>
        <w:rPr>
          <w:rFonts w:ascii="Times New Roman" w:hAnsi="Times New Roman"/>
        </w:rPr>
        <w:t>所示。将染色体按照相同形态和大小进行归类，共得到</w:t>
      </w:r>
      <w:r>
        <w:rPr>
          <w:rFonts w:ascii="Times New Roman" w:hAnsi="Times New Roman"/>
        </w:rPr>
        <w:t>7</w:t>
      </w:r>
      <w:r>
        <w:rPr>
          <w:rFonts w:ascii="Times New Roman" w:hAnsi="Times New Roman"/>
        </w:rPr>
        <w:t>组染色体，如图</w:t>
      </w:r>
      <w:r>
        <w:rPr>
          <w:rFonts w:ascii="Times New Roman" w:hAnsi="Times New Roman"/>
        </w:rPr>
        <w:t>2</w:t>
      </w:r>
      <w:r>
        <w:rPr>
          <w:rFonts w:ascii="Times New Roman" w:hAnsi="Times New Roman"/>
        </w:rPr>
        <w:t>所示。下列相关叙述正确的是（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3943350" cy="15144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xmlns:r="http://schemas.openxmlformats.org/officeDocument/2006/relationships" r:embed="rId9"/>
                    <a:stretch>
                      <a:fillRect/>
                    </a:stretch>
                  </pic:blipFill>
                  <pic:spPr>
                    <a:xfrm>
                      <a:off x="0" y="0"/>
                      <a:ext cx="3943350" cy="1514475"/>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．该细胞处于有丝分裂中期或</w:t>
      </w:r>
      <w:r>
        <w:rPr>
          <w:rFonts w:ascii="Times New Roman" w:hAnsi="Times New Roman"/>
        </w:rPr>
        <w:t>MI</w:t>
      </w:r>
      <w:r>
        <w:rPr>
          <w:rFonts w:ascii="Times New Roman" w:hAnsi="Times New Roman"/>
        </w:rPr>
        <w:t>中期</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．月季含有</w:t>
      </w:r>
      <w:r>
        <w:rPr>
          <w:rFonts w:ascii="Times New Roman" w:hAnsi="Times New Roman"/>
        </w:rPr>
        <w:t>7</w:t>
      </w:r>
      <w:r>
        <w:rPr>
          <w:rFonts w:ascii="Times New Roman" w:hAnsi="Times New Roman"/>
        </w:rPr>
        <w:t>个染色体组，属于七倍体</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．单倍体月季有</w:t>
      </w:r>
      <w:r>
        <w:rPr>
          <w:rFonts w:ascii="Times New Roman" w:hAnsi="Times New Roman"/>
        </w:rPr>
        <w:t>14</w:t>
      </w:r>
      <w:r>
        <w:rPr>
          <w:rFonts w:ascii="Times New Roman" w:hAnsi="Times New Roman"/>
        </w:rPr>
        <w:t>条染色体，均为纯合子</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．进行减数分裂时，图</w:t>
      </w:r>
      <w:r>
        <w:rPr>
          <w:rFonts w:ascii="Times New Roman" w:hAnsi="Times New Roman"/>
        </w:rPr>
        <w:t>2</w:t>
      </w:r>
      <w:r>
        <w:rPr>
          <w:rFonts w:ascii="Times New Roman" w:hAnsi="Times New Roman"/>
        </w:rPr>
        <w:t>中的每组染色体会随机分配两条染色体到配子中</w:t>
      </w:r>
    </w:p>
    <w:p w:rsidR="002B368A" w:rsidP="002B368A">
      <w:pPr>
        <w:spacing w:line="288" w:lineRule="auto"/>
        <w:jc w:val="left"/>
        <w:rPr>
          <w:rFonts w:ascii="Times New Roman" w:hAnsi="Times New Roman"/>
        </w:rPr>
      </w:pPr>
      <w:r>
        <w:rPr>
          <w:rFonts w:ascii="Times New Roman" w:hAnsi="Times New Roman"/>
        </w:rPr>
        <w:t>12</w:t>
      </w:r>
      <w:r>
        <w:rPr>
          <w:rFonts w:ascii="Times New Roman" w:hAnsi="Times New Roman"/>
        </w:rPr>
        <w:t>．组蛋白是一类与</w:t>
      </w:r>
      <w:r>
        <w:rPr>
          <w:rFonts w:ascii="Times New Roman" w:hAnsi="Times New Roman"/>
        </w:rPr>
        <w:t>DNA</w:t>
      </w:r>
      <w:r>
        <w:rPr>
          <w:rFonts w:ascii="Times New Roman" w:hAnsi="Times New Roman"/>
        </w:rPr>
        <w:t>紧密结合的蛋白质，组蛋白发生乙酰化修饰后，其电荷会发生改变，与</w:t>
      </w:r>
      <w:r>
        <w:rPr>
          <w:rFonts w:ascii="Times New Roman" w:hAnsi="Times New Roman"/>
        </w:rPr>
        <w:t>DNA</w:t>
      </w:r>
      <w:r>
        <w:rPr>
          <w:rFonts w:ascii="Times New Roman" w:hAnsi="Times New Roman"/>
        </w:rPr>
        <w:t>的相互作用减弱，导致染色质的结构变得松散而使</w:t>
      </w:r>
      <w:r>
        <w:rPr>
          <w:rFonts w:ascii="Times New Roman" w:hAnsi="Times New Roman"/>
        </w:rPr>
        <w:t>DNA</w:t>
      </w:r>
      <w:r>
        <w:rPr>
          <w:rFonts w:ascii="Times New Roman" w:hAnsi="Times New Roman"/>
        </w:rPr>
        <w:t>暴露出来，从而调控基因表达。下列分析错误的是（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．组蛋白乙酰</w:t>
      </w:r>
      <w:r>
        <w:rPr>
          <w:rFonts w:ascii="Times New Roman" w:hAnsi="Times New Roman"/>
        </w:rPr>
        <w:t>化不会</w:t>
      </w:r>
      <w:r>
        <w:rPr>
          <w:rFonts w:ascii="Times New Roman" w:hAnsi="Times New Roman"/>
        </w:rPr>
        <w:t>改变基因的核苷酸序列</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．抑癌基因区域的组蛋白乙酰化会加速细胞癌变</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．组蛋白乙酰化会影响生物性状，属于表观遗传</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．组蛋白乙酰化有利于</w:t>
      </w:r>
      <w:r>
        <w:rPr>
          <w:rFonts w:ascii="Times New Roman" w:hAnsi="Times New Roman"/>
        </w:rPr>
        <w:t>RNA</w:t>
      </w:r>
      <w:r>
        <w:rPr>
          <w:rFonts w:ascii="Times New Roman" w:hAnsi="Times New Roman"/>
        </w:rPr>
        <w:t>聚合酶结合到</w:t>
      </w:r>
      <w:r>
        <w:rPr>
          <w:rFonts w:ascii="Times New Roman" w:hAnsi="Times New Roman"/>
        </w:rPr>
        <w:t>DNA</w:t>
      </w:r>
      <w:r>
        <w:rPr>
          <w:rFonts w:ascii="Times New Roman" w:hAnsi="Times New Roman"/>
        </w:rPr>
        <w:t>上</w:t>
      </w:r>
    </w:p>
    <w:p w:rsidR="002B368A" w:rsidP="002B368A">
      <w:pPr>
        <w:spacing w:line="288" w:lineRule="auto"/>
        <w:jc w:val="left"/>
        <w:rPr>
          <w:rFonts w:ascii="Times New Roman" w:hAnsi="Times New Roman"/>
        </w:rPr>
      </w:pPr>
      <w:r>
        <w:rPr>
          <w:rFonts w:ascii="Times New Roman" w:hAnsi="Times New Roman"/>
        </w:rPr>
        <w:t>13</w:t>
      </w:r>
      <w:r>
        <w:rPr>
          <w:rFonts w:ascii="Times New Roman" w:hAnsi="Times New Roman"/>
        </w:rPr>
        <w:t>．某单基因遗传病的遗传系谱图如图</w:t>
      </w:r>
      <w:r>
        <w:rPr>
          <w:rFonts w:ascii="Times New Roman" w:hAnsi="Times New Roman"/>
        </w:rPr>
        <w:t>1</w:t>
      </w:r>
      <w:r>
        <w:rPr>
          <w:rFonts w:ascii="Times New Roman" w:hAnsi="Times New Roman"/>
        </w:rPr>
        <w:t>所示。研究人员用</w:t>
      </w:r>
      <w:r>
        <w:rPr>
          <w:rFonts w:ascii="Times New Roman" w:hAnsi="Times New Roman"/>
        </w:rPr>
        <w:t>PCR</w:t>
      </w:r>
      <w:r>
        <w:rPr>
          <w:rFonts w:ascii="Times New Roman" w:hAnsi="Times New Roman"/>
        </w:rPr>
        <w:t>扩增了与该基因相关的片段，并对产物酶</w:t>
      </w:r>
      <w:r>
        <w:rPr>
          <w:rFonts w:ascii="Times New Roman" w:hAnsi="Times New Roman"/>
        </w:rPr>
        <w:t>切后进行电泳，结果如图</w:t>
      </w:r>
      <w:r>
        <w:rPr>
          <w:rFonts w:ascii="Times New Roman" w:hAnsi="Times New Roman"/>
        </w:rPr>
        <w:t>2</w:t>
      </w:r>
      <w:r>
        <w:rPr>
          <w:rFonts w:ascii="Times New Roman" w:hAnsi="Times New Roman"/>
        </w:rPr>
        <w:t>所示。已知突变基因中</w:t>
      </w:r>
      <w:r>
        <w:rPr>
          <w:rFonts w:ascii="Times New Roman" w:hAnsi="Times New Roman"/>
        </w:rPr>
        <w:t>1</w:t>
      </w:r>
      <w:r>
        <w:rPr>
          <w:rFonts w:ascii="Times New Roman" w:hAnsi="Times New Roman"/>
        </w:rPr>
        <w:t>个碱基对发生了替换，正常基因含有</w:t>
      </w:r>
      <w:r>
        <w:rPr>
          <w:rFonts w:ascii="Times New Roman" w:hAnsi="Times New Roman"/>
        </w:rPr>
        <w:t>1</w:t>
      </w:r>
      <w:r>
        <w:rPr>
          <w:rFonts w:ascii="Times New Roman" w:hAnsi="Times New Roman"/>
        </w:rPr>
        <w:t>个限制酶切割位点，突变基因增加了</w:t>
      </w:r>
      <w:r>
        <w:rPr>
          <w:rFonts w:ascii="Times New Roman" w:hAnsi="Times New Roman"/>
        </w:rPr>
        <w:t>1</w:t>
      </w:r>
      <w:r>
        <w:rPr>
          <w:rFonts w:ascii="Times New Roman" w:hAnsi="Times New Roman"/>
        </w:rPr>
        <w:t>个酶切位点。下列相关叙述错误的是（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4448175" cy="11430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xmlns:r="http://schemas.openxmlformats.org/officeDocument/2006/relationships" r:embed="rId10"/>
                    <a:stretch>
                      <a:fillRect/>
                    </a:stretch>
                  </pic:blipFill>
                  <pic:spPr>
                    <a:xfrm>
                      <a:off x="0" y="0"/>
                      <a:ext cx="4448175" cy="1143000"/>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I-1</w:t>
      </w:r>
      <w:r>
        <w:rPr>
          <w:rFonts w:ascii="Times New Roman" w:hAnsi="Times New Roman"/>
        </w:rPr>
        <w:t>和</w:t>
      </w:r>
      <w:r>
        <w:rPr>
          <w:rFonts w:ascii="Times New Roman" w:hAnsi="Times New Roman"/>
        </w:rPr>
        <w:t>I-2</w:t>
      </w:r>
      <w:r>
        <w:rPr>
          <w:rFonts w:ascii="Times New Roman" w:hAnsi="Times New Roman"/>
        </w:rPr>
        <w:t>都为杂合子，均携带</w:t>
      </w:r>
      <w:r>
        <w:rPr>
          <w:rFonts w:ascii="Times New Roman" w:hAnsi="Times New Roman"/>
        </w:rPr>
        <w:t>1</w:t>
      </w:r>
      <w:r>
        <w:rPr>
          <w:rFonts w:ascii="Times New Roman" w:hAnsi="Times New Roman"/>
        </w:rPr>
        <w:t>个致病基因</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Ⅱ-3</w:t>
      </w:r>
      <w:r>
        <w:rPr>
          <w:rFonts w:ascii="Times New Roman" w:hAnsi="Times New Roman"/>
        </w:rPr>
        <w:t>的基因型与</w:t>
      </w:r>
      <w:r>
        <w:rPr>
          <w:rFonts w:ascii="Times New Roman" w:hAnsi="Times New Roman"/>
        </w:rPr>
        <w:t>Ⅱ-2</w:t>
      </w:r>
      <w:r>
        <w:rPr>
          <w:rFonts w:ascii="Times New Roman" w:hAnsi="Times New Roman"/>
        </w:rPr>
        <w:t>或</w:t>
      </w:r>
      <w:r>
        <w:rPr>
          <w:rFonts w:ascii="Times New Roman" w:hAnsi="Times New Roman"/>
        </w:rPr>
        <w:t>Ⅱ-4</w:t>
      </w:r>
      <w:r>
        <w:rPr>
          <w:rFonts w:ascii="Times New Roman" w:hAnsi="Times New Roman"/>
        </w:rPr>
        <w:t>的相同</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．该突变基因新增的酶切位点位于</w:t>
      </w:r>
      <w:r>
        <w:rPr>
          <w:rFonts w:ascii="Times New Roman" w:hAnsi="Times New Roman"/>
        </w:rPr>
        <w:t>526bp</w:t>
      </w:r>
      <w:r>
        <w:rPr>
          <w:rFonts w:ascii="Times New Roman" w:hAnsi="Times New Roman"/>
        </w:rPr>
        <w:t>的基因片段中</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．扩增</w:t>
      </w:r>
      <w:r>
        <w:rPr>
          <w:rFonts w:ascii="Times New Roman" w:hAnsi="Times New Roman"/>
        </w:rPr>
        <w:t>Ⅱ-3</w:t>
      </w:r>
      <w:r>
        <w:rPr>
          <w:rFonts w:ascii="Times New Roman" w:hAnsi="Times New Roman"/>
        </w:rPr>
        <w:t>的基因片段，酶切后其电泳可能形成</w:t>
      </w:r>
      <w:r>
        <w:rPr>
          <w:rFonts w:ascii="Times New Roman" w:hAnsi="Times New Roman"/>
        </w:rPr>
        <w:t>2</w:t>
      </w:r>
      <w:r>
        <w:rPr>
          <w:rFonts w:ascii="Times New Roman" w:hAnsi="Times New Roman"/>
        </w:rPr>
        <w:t>种条带</w:t>
      </w:r>
    </w:p>
    <w:p w:rsidR="002B368A" w:rsidP="002B368A">
      <w:pPr>
        <w:spacing w:line="288" w:lineRule="auto"/>
        <w:jc w:val="left"/>
        <w:rPr>
          <w:rFonts w:ascii="Times New Roman" w:hAnsi="Times New Roman"/>
          <w:b/>
          <w:sz w:val="24"/>
        </w:rPr>
      </w:pPr>
      <w:r>
        <w:rPr>
          <w:rFonts w:ascii="Times New Roman" w:hAnsi="Times New Roman"/>
          <w:b/>
          <w:sz w:val="24"/>
        </w:rPr>
        <w:t>二、多项选择题：本题共</w:t>
      </w:r>
      <w:r>
        <w:rPr>
          <w:rFonts w:ascii="Times New Roman" w:hAnsi="Times New Roman"/>
          <w:b/>
          <w:sz w:val="24"/>
        </w:rPr>
        <w:t>5</w:t>
      </w:r>
      <w:r>
        <w:rPr>
          <w:rFonts w:ascii="Times New Roman" w:hAnsi="Times New Roman"/>
          <w:b/>
          <w:sz w:val="24"/>
        </w:rPr>
        <w:t>小题，每小题</w:t>
      </w:r>
      <w:r>
        <w:rPr>
          <w:rFonts w:ascii="Times New Roman" w:hAnsi="Times New Roman"/>
          <w:b/>
          <w:sz w:val="24"/>
        </w:rPr>
        <w:t>3</w:t>
      </w:r>
      <w:r>
        <w:rPr>
          <w:rFonts w:ascii="Times New Roman" w:hAnsi="Times New Roman"/>
          <w:b/>
          <w:sz w:val="24"/>
        </w:rPr>
        <w:t>分，共</w:t>
      </w:r>
      <w:r>
        <w:rPr>
          <w:rFonts w:ascii="Times New Roman" w:hAnsi="Times New Roman"/>
          <w:b/>
          <w:sz w:val="24"/>
        </w:rPr>
        <w:t>15</w:t>
      </w:r>
      <w:r>
        <w:rPr>
          <w:rFonts w:ascii="Times New Roman" w:hAnsi="Times New Roman"/>
          <w:b/>
          <w:sz w:val="24"/>
        </w:rPr>
        <w:t>分。在每小题给出的四个选项中，有两个或两个以上选项符合题目要求，全部选对得</w:t>
      </w:r>
      <w:r>
        <w:rPr>
          <w:rFonts w:ascii="Times New Roman" w:hAnsi="Times New Roman"/>
          <w:b/>
          <w:sz w:val="24"/>
        </w:rPr>
        <w:t>3</w:t>
      </w:r>
      <w:r>
        <w:rPr>
          <w:rFonts w:ascii="Times New Roman" w:hAnsi="Times New Roman"/>
          <w:b/>
          <w:sz w:val="24"/>
        </w:rPr>
        <w:t>分，选对但不全的得</w:t>
      </w:r>
      <w:r>
        <w:rPr>
          <w:rFonts w:ascii="Times New Roman" w:hAnsi="Times New Roman"/>
          <w:b/>
          <w:sz w:val="24"/>
        </w:rPr>
        <w:t>1</w:t>
      </w:r>
      <w:r>
        <w:rPr>
          <w:rFonts w:ascii="Times New Roman" w:hAnsi="Times New Roman"/>
          <w:b/>
          <w:sz w:val="24"/>
        </w:rPr>
        <w:t>分，有选错的得</w:t>
      </w:r>
      <w:r>
        <w:rPr>
          <w:rFonts w:ascii="Times New Roman" w:hAnsi="Times New Roman"/>
          <w:b/>
          <w:sz w:val="24"/>
        </w:rPr>
        <w:t>0</w:t>
      </w:r>
      <w:r>
        <w:rPr>
          <w:rFonts w:ascii="Times New Roman" w:hAnsi="Times New Roman"/>
          <w:b/>
          <w:sz w:val="24"/>
        </w:rPr>
        <w:t>分。</w:t>
      </w:r>
    </w:p>
    <w:p w:rsidR="002B368A" w:rsidP="002B368A">
      <w:pPr>
        <w:spacing w:line="288" w:lineRule="auto"/>
        <w:jc w:val="left"/>
        <w:rPr>
          <w:rFonts w:ascii="Times New Roman" w:hAnsi="Times New Roman"/>
        </w:rPr>
      </w:pPr>
      <w:r>
        <w:rPr>
          <w:rFonts w:ascii="Times New Roman" w:hAnsi="Times New Roman"/>
        </w:rPr>
        <w:t>14</w:t>
      </w:r>
      <w:r>
        <w:rPr>
          <w:rFonts w:ascii="Times New Roman" w:hAnsi="Times New Roman"/>
        </w:rPr>
        <w:t>．脂滴是存储和转运脂肪的细胞器。为研究脂肪酸供能的转运路径，科研人员让小鼠成纤维细胞摄入红色荧光标记的外源脂肪酸后，将其分别置于细胞培养液和无机盐缓冲液中培养，用绿色荧光、蓝色荧光分别标记细胞的脂滴和线粒体，分析荧光重合程度，结果如图所示。下列分析正确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2181225" cy="15049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xmlns:r="http://schemas.openxmlformats.org/officeDocument/2006/relationships" r:embed="rId11"/>
                    <a:stretch>
                      <a:fillRect/>
                    </a:stretch>
                  </pic:blipFill>
                  <pic:spPr>
                    <a:xfrm>
                      <a:off x="0" y="0"/>
                      <a:ext cx="2181225" cy="1504950"/>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．用无机盐缓冲液培养细胞的目的是促进葡萄糖分解供能</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．红绿荧光重合程度高，说明吸收的脂肪酸可存储在脂滴中</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．无机盐缓冲液组中，从脂滴转运到线粒体的脂肪酸较少</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．培养</w:t>
      </w:r>
      <w:r>
        <w:rPr>
          <w:rFonts w:ascii="Times New Roman" w:hAnsi="Times New Roman"/>
        </w:rPr>
        <w:t>24h</w:t>
      </w:r>
      <w:r>
        <w:rPr>
          <w:rFonts w:ascii="Times New Roman" w:hAnsi="Times New Roman"/>
        </w:rPr>
        <w:t>，与无机盐</w:t>
      </w:r>
      <w:r>
        <w:rPr>
          <w:rFonts w:ascii="Times New Roman" w:hAnsi="Times New Roman"/>
        </w:rPr>
        <w:t>缓冲液组相比</w:t>
      </w:r>
      <w:r>
        <w:rPr>
          <w:rFonts w:ascii="Times New Roman" w:hAnsi="Times New Roman"/>
        </w:rPr>
        <w:t>，</w:t>
      </w:r>
      <w:r>
        <w:rPr>
          <w:rFonts w:ascii="Times New Roman" w:hAnsi="Times New Roman"/>
        </w:rPr>
        <w:t>细胞培养液组的</w:t>
      </w:r>
      <w:r>
        <w:rPr>
          <w:rFonts w:ascii="Times New Roman" w:hAnsi="Times New Roman"/>
        </w:rPr>
        <w:t>脂肪酸浓度更高</w:t>
      </w:r>
    </w:p>
    <w:p w:rsidR="002B368A" w:rsidP="002B368A">
      <w:pPr>
        <w:spacing w:line="288" w:lineRule="auto"/>
        <w:jc w:val="left"/>
        <w:rPr>
          <w:rFonts w:ascii="Times New Roman" w:hAnsi="Times New Roman"/>
        </w:rPr>
      </w:pPr>
      <w:r>
        <w:rPr>
          <w:rFonts w:ascii="Times New Roman" w:hAnsi="Times New Roman"/>
        </w:rPr>
        <w:t>15</w:t>
      </w:r>
      <w:r>
        <w:rPr>
          <w:rFonts w:ascii="Times New Roman" w:hAnsi="Times New Roman"/>
        </w:rPr>
        <w:t>．甲、乙两图都表示某植物的非绿色器官</w:t>
      </w:r>
      <w:r>
        <w:rPr>
          <w:rFonts w:ascii="Times New Roman" w:hAnsi="Times New Roman"/>
        </w:rPr>
        <w:t>CO</w:t>
      </w:r>
      <w:r>
        <w:rPr>
          <w:rFonts w:ascii="Times New Roman" w:hAnsi="Times New Roman"/>
          <w:vertAlign w:val="subscript"/>
        </w:rPr>
        <w:t>2</w:t>
      </w:r>
      <w:r>
        <w:rPr>
          <w:rFonts w:ascii="Times New Roman" w:hAnsi="Times New Roman"/>
        </w:rPr>
        <w:t>释放量和</w:t>
      </w:r>
      <w:r>
        <w:rPr>
          <w:rFonts w:ascii="Times New Roman" w:hAnsi="Times New Roman"/>
        </w:rPr>
        <w:t>O</w:t>
      </w:r>
      <w:r>
        <w:rPr>
          <w:rFonts w:ascii="Times New Roman" w:hAnsi="Times New Roman"/>
          <w:vertAlign w:val="subscript"/>
        </w:rPr>
        <w:t>2</w:t>
      </w:r>
      <w:r>
        <w:rPr>
          <w:rFonts w:ascii="Times New Roman" w:hAnsi="Times New Roman"/>
        </w:rPr>
        <w:t>吸收量的变化，细胞呼吸的底物均为葡萄糖。下列相关叙述正确的是（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4933950" cy="12096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xmlns:r="http://schemas.openxmlformats.org/officeDocument/2006/relationships" r:embed="rId12"/>
                    <a:stretch>
                      <a:fillRect/>
                    </a:stretch>
                  </pic:blipFill>
                  <pic:spPr>
                    <a:xfrm>
                      <a:off x="0" y="0"/>
                      <a:ext cx="4933950" cy="1209675"/>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O</w:t>
      </w:r>
      <w:r>
        <w:rPr>
          <w:rFonts w:ascii="Times New Roman" w:hAnsi="Times New Roman"/>
          <w:vertAlign w:val="subscript"/>
        </w:rPr>
        <w:t>2</w:t>
      </w:r>
      <w:r>
        <w:rPr>
          <w:rFonts w:ascii="Times New Roman" w:hAnsi="Times New Roman"/>
        </w:rPr>
        <w:t>浓度为</w:t>
      </w:r>
      <w:r>
        <w:rPr>
          <w:rFonts w:ascii="Times New Roman" w:hAnsi="Times New Roman"/>
        </w:rPr>
        <w:t>a</w:t>
      </w:r>
      <w:r>
        <w:rPr>
          <w:rFonts w:ascii="Times New Roman" w:hAnsi="Times New Roman"/>
        </w:rPr>
        <w:t>时，释放的</w:t>
      </w:r>
      <w:r>
        <w:rPr>
          <w:rFonts w:ascii="Times New Roman" w:hAnsi="Times New Roman"/>
        </w:rPr>
        <w:t>CO</w:t>
      </w:r>
      <w:r>
        <w:rPr>
          <w:rFonts w:ascii="Times New Roman" w:hAnsi="Times New Roman"/>
          <w:vertAlign w:val="subscript"/>
        </w:rPr>
        <w:t>2</w:t>
      </w:r>
      <w:r>
        <w:rPr>
          <w:rFonts w:ascii="Times New Roman" w:hAnsi="Times New Roman"/>
        </w:rPr>
        <w:t>是在细胞质基质中产生的</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．图甲中</w:t>
      </w:r>
      <w:r>
        <w:rPr>
          <w:rFonts w:ascii="Times New Roman" w:hAnsi="Times New Roman"/>
        </w:rPr>
        <w:t>O</w:t>
      </w:r>
      <w:r>
        <w:rPr>
          <w:rFonts w:ascii="Times New Roman" w:hAnsi="Times New Roman"/>
          <w:vertAlign w:val="subscript"/>
        </w:rPr>
        <w:t>2</w:t>
      </w:r>
      <w:r>
        <w:rPr>
          <w:rFonts w:ascii="Times New Roman" w:hAnsi="Times New Roman"/>
        </w:rPr>
        <w:t>浓度由</w:t>
      </w:r>
      <w:r>
        <w:rPr>
          <w:rFonts w:ascii="Times New Roman" w:hAnsi="Times New Roman"/>
        </w:rPr>
        <w:t>a</w:t>
      </w:r>
      <w:r>
        <w:rPr>
          <w:rFonts w:ascii="Times New Roman" w:hAnsi="Times New Roman"/>
        </w:rPr>
        <w:t>到</w:t>
      </w:r>
      <w:r>
        <w:rPr>
          <w:rFonts w:ascii="Times New Roman" w:hAnsi="Times New Roman"/>
        </w:rPr>
        <w:t>b</w:t>
      </w:r>
      <w:r>
        <w:rPr>
          <w:rFonts w:ascii="Times New Roman" w:hAnsi="Times New Roman"/>
        </w:rPr>
        <w:t>的过程，可能对应图乙中的</w:t>
      </w:r>
      <w:r>
        <w:rPr>
          <w:rFonts w:ascii="Times New Roman" w:hAnsi="Times New Roman"/>
        </w:rPr>
        <w:t>e</w:t>
      </w:r>
      <w:r>
        <w:rPr>
          <w:rFonts w:ascii="Times New Roman" w:hAnsi="Times New Roman"/>
        </w:rPr>
        <w:t>～</w:t>
      </w:r>
      <w:r>
        <w:rPr>
          <w:rFonts w:ascii="Times New Roman" w:hAnsi="Times New Roman"/>
        </w:rPr>
        <w:t>f</w:t>
      </w:r>
      <w:r>
        <w:rPr>
          <w:rFonts w:ascii="Times New Roman" w:hAnsi="Times New Roman"/>
        </w:rPr>
        <w:t>段</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O</w:t>
      </w:r>
      <w:r>
        <w:rPr>
          <w:rFonts w:ascii="Times New Roman" w:hAnsi="Times New Roman"/>
          <w:vertAlign w:val="subscript"/>
        </w:rPr>
        <w:t>2</w:t>
      </w:r>
      <w:r>
        <w:rPr>
          <w:rFonts w:ascii="Times New Roman" w:hAnsi="Times New Roman"/>
        </w:rPr>
        <w:t>浓度为</w:t>
      </w:r>
      <w:r>
        <w:rPr>
          <w:rFonts w:ascii="Times New Roman" w:hAnsi="Times New Roman"/>
        </w:rPr>
        <w:t>c</w:t>
      </w:r>
      <w:r>
        <w:rPr>
          <w:rFonts w:ascii="Times New Roman" w:hAnsi="Times New Roman"/>
        </w:rPr>
        <w:t>时，在线粒体基质中会产生少量的酒精</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O</w:t>
      </w:r>
      <w:r>
        <w:rPr>
          <w:rFonts w:ascii="Times New Roman" w:hAnsi="Times New Roman"/>
          <w:vertAlign w:val="subscript"/>
        </w:rPr>
        <w:t>2</w:t>
      </w:r>
      <w:r>
        <w:rPr>
          <w:rFonts w:ascii="Times New Roman" w:hAnsi="Times New Roman"/>
        </w:rPr>
        <w:t>浓度为</w:t>
      </w:r>
      <w:r>
        <w:rPr>
          <w:rFonts w:ascii="Times New Roman" w:hAnsi="Times New Roman"/>
        </w:rPr>
        <w:t>d</w:t>
      </w:r>
      <w:r>
        <w:rPr>
          <w:rFonts w:ascii="Times New Roman" w:hAnsi="Times New Roman"/>
        </w:rPr>
        <w:t>时，葡萄糖彻底氧化分解释放的能量只有少部分转移到</w:t>
      </w:r>
      <w:r>
        <w:rPr>
          <w:rFonts w:ascii="Times New Roman" w:hAnsi="Times New Roman"/>
        </w:rPr>
        <w:t>ATP</w:t>
      </w:r>
      <w:r>
        <w:rPr>
          <w:rFonts w:ascii="Times New Roman" w:hAnsi="Times New Roman"/>
        </w:rPr>
        <w:t>中</w:t>
      </w:r>
    </w:p>
    <w:p w:rsidR="002B368A" w:rsidP="002B368A">
      <w:pPr>
        <w:spacing w:line="288" w:lineRule="auto"/>
        <w:jc w:val="left"/>
        <w:rPr>
          <w:rFonts w:ascii="Times New Roman" w:hAnsi="Times New Roman"/>
        </w:rPr>
      </w:pPr>
      <w:r>
        <w:rPr>
          <w:rFonts w:ascii="Times New Roman" w:hAnsi="Times New Roman"/>
        </w:rPr>
        <w:t>16</w:t>
      </w:r>
      <w:r>
        <w:rPr>
          <w:rFonts w:ascii="Times New Roman" w:hAnsi="Times New Roman"/>
        </w:rPr>
        <w:t>．</w:t>
      </w:r>
      <w:r>
        <w:rPr>
          <w:rFonts w:ascii="Times New Roman" w:hAnsi="Times New Roman"/>
        </w:rPr>
        <w:t>circRNA</w:t>
      </w:r>
      <w:r>
        <w:rPr>
          <w:rFonts w:ascii="Times New Roman" w:hAnsi="Times New Roman"/>
        </w:rPr>
        <w:t>和</w:t>
      </w:r>
      <w:r>
        <w:rPr>
          <w:rFonts w:ascii="Times New Roman" w:hAnsi="Times New Roman"/>
        </w:rPr>
        <w:t>miRNA</w:t>
      </w:r>
      <w:r>
        <w:rPr>
          <w:rFonts w:ascii="Times New Roman" w:hAnsi="Times New Roman"/>
        </w:rPr>
        <w:t>是细胞中的非编码</w:t>
      </w:r>
      <w:r>
        <w:rPr>
          <w:rFonts w:ascii="Times New Roman" w:hAnsi="Times New Roman"/>
        </w:rPr>
        <w:t>RNA</w:t>
      </w:r>
      <w:r>
        <w:rPr>
          <w:rFonts w:ascii="Times New Roman" w:hAnsi="Times New Roman"/>
        </w:rPr>
        <w:t>，参与基因表达的调控。</w:t>
      </w:r>
      <w:r>
        <w:rPr>
          <w:rFonts w:ascii="Times New Roman" w:hAnsi="Times New Roman"/>
        </w:rPr>
        <w:t>miRNA</w:t>
      </w:r>
      <w:r>
        <w:rPr>
          <w:rFonts w:ascii="Times New Roman" w:hAnsi="Times New Roman"/>
        </w:rPr>
        <w:t>与</w:t>
      </w:r>
      <w:r>
        <w:rPr>
          <w:rFonts w:ascii="Times New Roman" w:hAnsi="Times New Roman"/>
        </w:rPr>
        <w:t>mRNA</w:t>
      </w:r>
      <w:r>
        <w:rPr>
          <w:rFonts w:ascii="Times New Roman" w:hAnsi="Times New Roman"/>
        </w:rPr>
        <w:t>靶</w:t>
      </w:r>
      <w:r>
        <w:rPr>
          <w:rFonts w:ascii="Times New Roman" w:hAnsi="Times New Roman"/>
        </w:rPr>
        <w:t>向结合</w:t>
      </w:r>
      <w:r>
        <w:rPr>
          <w:rFonts w:ascii="Times New Roman" w:hAnsi="Times New Roman"/>
        </w:rPr>
        <w:t>并使</w:t>
      </w:r>
      <w:r>
        <w:rPr>
          <w:rFonts w:ascii="Times New Roman" w:hAnsi="Times New Roman"/>
        </w:rPr>
        <w:t>mRNA</w:t>
      </w:r>
      <w:r>
        <w:rPr>
          <w:rFonts w:ascii="Times New Roman" w:hAnsi="Times New Roman"/>
        </w:rPr>
        <w:t>降解，</w:t>
      </w:r>
      <w:r>
        <w:rPr>
          <w:rFonts w:ascii="Times New Roman" w:hAnsi="Times New Roman"/>
        </w:rPr>
        <w:t>circRNA</w:t>
      </w:r>
      <w:r>
        <w:rPr>
          <w:rFonts w:ascii="Times New Roman" w:hAnsi="Times New Roman"/>
        </w:rPr>
        <w:t>与</w:t>
      </w:r>
      <w:r>
        <w:rPr>
          <w:rFonts w:ascii="Times New Roman" w:hAnsi="Times New Roman"/>
        </w:rPr>
        <w:t>miRNA</w:t>
      </w:r>
      <w:r>
        <w:rPr>
          <w:rFonts w:ascii="Times New Roman" w:hAnsi="Times New Roman"/>
        </w:rPr>
        <w:t>靶向结合，有利于</w:t>
      </w:r>
      <w:r>
        <w:rPr>
          <w:rFonts w:ascii="Times New Roman" w:hAnsi="Times New Roman"/>
        </w:rPr>
        <w:t>mRNA</w:t>
      </w:r>
      <w:r>
        <w:rPr>
          <w:rFonts w:ascii="Times New Roman" w:hAnsi="Times New Roman"/>
        </w:rPr>
        <w:t>发挥作用。</w:t>
      </w:r>
      <w:r>
        <w:rPr>
          <w:rFonts w:ascii="Times New Roman" w:hAnsi="Times New Roman"/>
        </w:rPr>
        <w:t>circRNA</w:t>
      </w:r>
      <w:r>
        <w:rPr>
          <w:rFonts w:ascii="Times New Roman" w:hAnsi="Times New Roman"/>
        </w:rPr>
        <w:t>通过</w:t>
      </w:r>
      <w:r>
        <w:rPr>
          <w:rFonts w:ascii="Times New Roman" w:hAnsi="Times New Roman"/>
        </w:rPr>
        <w:t>miRNA</w:t>
      </w:r>
      <w:r>
        <w:rPr>
          <w:rFonts w:ascii="Times New Roman" w:hAnsi="Times New Roman"/>
        </w:rPr>
        <w:t>调控</w:t>
      </w:r>
      <w:r>
        <w:rPr>
          <w:rFonts w:ascii="Times New Roman" w:hAnsi="Times New Roman"/>
        </w:rPr>
        <w:t>P</w:t>
      </w:r>
      <w:r>
        <w:rPr>
          <w:rFonts w:ascii="Times New Roman" w:hAnsi="Times New Roman"/>
        </w:rPr>
        <w:t>基因表达，进而影响细胞凋亡，调控机制如图所示。下列相关分析错误的是（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4819650" cy="18764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xmlns:r="http://schemas.openxmlformats.org/officeDocument/2006/relationships" r:embed="rId13"/>
                    <a:stretch>
                      <a:fillRect/>
                    </a:stretch>
                  </pic:blipFill>
                  <pic:spPr>
                    <a:xfrm>
                      <a:off x="0" y="0"/>
                      <a:ext cx="4819650" cy="1876425"/>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circRNA</w:t>
      </w:r>
      <w:r>
        <w:rPr>
          <w:rFonts w:ascii="Times New Roman" w:hAnsi="Times New Roman"/>
        </w:rPr>
        <w:t>中首位核糖核苷酸的</w:t>
      </w:r>
      <w:r>
        <w:rPr>
          <w:rFonts w:ascii="Times New Roman" w:hAnsi="Times New Roman"/>
        </w:rPr>
        <w:t>5</w:t>
      </w:r>
      <w:r>
        <w:rPr>
          <w:rFonts w:ascii="Times New Roman" w:hAnsi="Times New Roman"/>
        </w:rPr>
        <w:t>’</w:t>
      </w:r>
      <w:r>
        <w:rPr>
          <w:rFonts w:ascii="Times New Roman" w:hAnsi="Times New Roman"/>
        </w:rPr>
        <w:t>端是游离的磷酸基团</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circRNA</w:t>
      </w:r>
      <w:r>
        <w:rPr>
          <w:rFonts w:ascii="Times New Roman" w:hAnsi="Times New Roman"/>
        </w:rPr>
        <w:t>和</w:t>
      </w:r>
      <w:r>
        <w:rPr>
          <w:rFonts w:ascii="Times New Roman" w:hAnsi="Times New Roman"/>
        </w:rPr>
        <w:t>mRNA</w:t>
      </w:r>
      <w:r>
        <w:rPr>
          <w:rFonts w:ascii="Times New Roman" w:hAnsi="Times New Roman"/>
        </w:rPr>
        <w:t>在细胞质中竞争性地与</w:t>
      </w:r>
      <w:r>
        <w:rPr>
          <w:rFonts w:ascii="Times New Roman" w:hAnsi="Times New Roman"/>
        </w:rPr>
        <w:t>miRNA</w:t>
      </w:r>
      <w:r>
        <w:rPr>
          <w:rFonts w:ascii="Times New Roman" w:hAnsi="Times New Roman"/>
        </w:rPr>
        <w:t>结合</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．细胞中的</w:t>
      </w:r>
      <w:r>
        <w:rPr>
          <w:rFonts w:ascii="Times New Roman" w:hAnsi="Times New Roman"/>
        </w:rPr>
        <w:t>miRNA</w:t>
      </w:r>
      <w:r>
        <w:rPr>
          <w:rFonts w:ascii="Times New Roman" w:hAnsi="Times New Roman"/>
        </w:rPr>
        <w:t>表达量降低，能抑制细胞凋亡</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．细胞中的</w:t>
      </w:r>
      <w:r>
        <w:rPr>
          <w:rFonts w:ascii="Times New Roman" w:hAnsi="Times New Roman"/>
        </w:rPr>
        <w:t>circRNA</w:t>
      </w:r>
      <w:r>
        <w:rPr>
          <w:rFonts w:ascii="Times New Roman" w:hAnsi="Times New Roman"/>
        </w:rPr>
        <w:t>表达量增加，能促进细胞凋亡</w:t>
      </w:r>
    </w:p>
    <w:p w:rsidR="002B368A" w:rsidP="002B368A">
      <w:pPr>
        <w:spacing w:line="288" w:lineRule="auto"/>
        <w:jc w:val="left"/>
        <w:rPr>
          <w:rFonts w:ascii="Times New Roman" w:hAnsi="Times New Roman"/>
        </w:rPr>
      </w:pPr>
      <w:r>
        <w:rPr>
          <w:rFonts w:ascii="Times New Roman" w:hAnsi="Times New Roman"/>
        </w:rPr>
        <w:t>17</w:t>
      </w:r>
      <w:r>
        <w:rPr>
          <w:rFonts w:ascii="Times New Roman" w:hAnsi="Times New Roman"/>
        </w:rPr>
        <w:t>．黄粉蝶的体色深黄色（</w:t>
      </w:r>
      <w:r>
        <w:rPr>
          <w:rFonts w:ascii="Times New Roman" w:hAnsi="Times New Roman"/>
        </w:rPr>
        <w:t>A</w:t>
      </w:r>
      <w:r>
        <w:rPr>
          <w:rFonts w:ascii="Times New Roman" w:hAnsi="Times New Roman"/>
        </w:rPr>
        <w:t>）对白色（</w:t>
      </w:r>
      <w:r>
        <w:rPr>
          <w:rFonts w:ascii="Times New Roman" w:hAnsi="Times New Roman"/>
        </w:rPr>
        <w:t>a</w:t>
      </w:r>
      <w:r>
        <w:rPr>
          <w:rFonts w:ascii="Times New Roman" w:hAnsi="Times New Roman"/>
        </w:rPr>
        <w:t>）为显性性状，基因位于常染色体上。基因</w:t>
      </w:r>
      <w:r>
        <w:rPr>
          <w:rFonts w:ascii="Times New Roman" w:hAnsi="Times New Roman"/>
        </w:rPr>
        <w:t>B</w:t>
      </w:r>
      <w:r>
        <w:rPr>
          <w:rFonts w:ascii="Times New Roman" w:hAnsi="Times New Roman"/>
        </w:rPr>
        <w:t>能影响黄粉蝶的体色，基因</w:t>
      </w:r>
      <w:r>
        <w:rPr>
          <w:rFonts w:ascii="Times New Roman" w:hAnsi="Times New Roman"/>
        </w:rPr>
        <w:t>A</w:t>
      </w:r>
      <w:r>
        <w:rPr>
          <w:rFonts w:ascii="Times New Roman" w:hAnsi="Times New Roman"/>
        </w:rPr>
        <w:t>和基因</w:t>
      </w:r>
      <w:r>
        <w:rPr>
          <w:rFonts w:ascii="Times New Roman" w:hAnsi="Times New Roman"/>
        </w:rPr>
        <w:t>B</w:t>
      </w:r>
      <w:r>
        <w:rPr>
          <w:rFonts w:ascii="Times New Roman" w:hAnsi="Times New Roman"/>
        </w:rPr>
        <w:t>共同表达时，体色表现为浅黄色，基因</w:t>
      </w:r>
      <w:r>
        <w:rPr>
          <w:rFonts w:ascii="Times New Roman" w:hAnsi="Times New Roman"/>
        </w:rPr>
        <w:t>B</w:t>
      </w:r>
      <w:r>
        <w:rPr>
          <w:rFonts w:ascii="Times New Roman" w:hAnsi="Times New Roman"/>
        </w:rPr>
        <w:t>位于</w:t>
      </w:r>
      <w:r>
        <w:rPr>
          <w:rFonts w:ascii="Times New Roman" w:hAnsi="Times New Roman"/>
        </w:rPr>
        <w:t>Z</w:t>
      </w:r>
      <w:r>
        <w:rPr>
          <w:rFonts w:ascii="Times New Roman" w:hAnsi="Times New Roman"/>
        </w:rPr>
        <w:t>染色体上。</w:t>
      </w:r>
      <w:r>
        <w:rPr>
          <w:rFonts w:ascii="Times New Roman" w:hAnsi="Times New Roman"/>
        </w:rPr>
        <w:t>某小组</w:t>
      </w:r>
      <w:r>
        <w:rPr>
          <w:rFonts w:ascii="Times New Roman" w:hAnsi="Times New Roman"/>
        </w:rPr>
        <w:t>以纯合雄蝶和纯合雌蝶为亲本杂交得</w:t>
      </w:r>
      <w:r>
        <w:rPr>
          <w:rFonts w:ascii="Times New Roman" w:hAnsi="Times New Roman"/>
        </w:rPr>
        <w:t>F</w:t>
      </w:r>
      <w:r>
        <w:rPr>
          <w:rFonts w:ascii="Times New Roman" w:hAnsi="Times New Roman"/>
          <w:vertAlign w:val="subscript"/>
        </w:rPr>
        <w:t>1</w:t>
      </w:r>
      <w:r>
        <w:rPr>
          <w:rFonts w:ascii="Times New Roman" w:hAnsi="Times New Roman"/>
        </w:rPr>
        <w:t>，</w:t>
      </w:r>
      <w:r>
        <w:rPr>
          <w:rFonts w:ascii="Times New Roman" w:hAnsi="Times New Roman"/>
        </w:rPr>
        <w:t>F</w:t>
      </w:r>
      <w:r>
        <w:rPr>
          <w:rFonts w:ascii="Times New Roman" w:hAnsi="Times New Roman"/>
          <w:vertAlign w:val="subscript"/>
        </w:rPr>
        <w:t>1</w:t>
      </w:r>
      <w:r>
        <w:rPr>
          <w:rFonts w:ascii="Times New Roman" w:hAnsi="Times New Roman"/>
        </w:rPr>
        <w:t>相互交配得</w:t>
      </w:r>
      <w:r>
        <w:rPr>
          <w:rFonts w:ascii="Times New Roman" w:hAnsi="Times New Roman"/>
        </w:rPr>
        <w:t>F</w:t>
      </w:r>
      <w:r>
        <w:rPr>
          <w:rFonts w:ascii="Times New Roman" w:hAnsi="Times New Roman"/>
          <w:vertAlign w:val="subscript"/>
        </w:rPr>
        <w:t>2</w:t>
      </w:r>
      <w:r>
        <w:rPr>
          <w:rFonts w:ascii="Times New Roman" w:hAnsi="Times New Roman"/>
        </w:rPr>
        <w:t>。</w:t>
      </w:r>
      <w:r>
        <w:rPr>
          <w:rFonts w:ascii="Times New Roman" w:hAnsi="Times New Roman"/>
        </w:rPr>
        <w:t>F</w:t>
      </w:r>
      <w:r>
        <w:rPr>
          <w:rFonts w:ascii="Times New Roman" w:hAnsi="Times New Roman"/>
          <w:vertAlign w:val="subscript"/>
        </w:rPr>
        <w:t>2</w:t>
      </w:r>
      <w:r>
        <w:rPr>
          <w:rFonts w:ascii="Times New Roman" w:hAnsi="Times New Roman"/>
        </w:rPr>
        <w:t>的性状分离比可能符合</w:t>
      </w:r>
      <w:r>
        <w:rPr>
          <w:rFonts w:ascii="Times New Roman" w:hAnsi="Times New Roman"/>
        </w:rPr>
        <w:t>9</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3</w:t>
      </w:r>
      <w:r>
        <w:rPr>
          <w:rFonts w:ascii="Times New Roman" w:hAnsi="Times New Roman"/>
        </w:rPr>
        <w:t>的亲本组合是（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．深黄色</w:t>
      </w:r>
      <w:r>
        <w:rPr>
          <w:rFonts w:ascii="Times New Roman" w:hAnsi="Times New Roman"/>
        </w:rPr>
        <w:t>♀×</w:t>
      </w:r>
      <w:r>
        <w:rPr>
          <w:rFonts w:ascii="Times New Roman" w:hAnsi="Times New Roman"/>
        </w:rPr>
        <w:t>深黄色</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．白色</w:t>
      </w:r>
      <w:r>
        <w:rPr>
          <w:rFonts w:ascii="Times New Roman" w:hAnsi="Times New Roman"/>
        </w:rPr>
        <w:t>♀×</w:t>
      </w:r>
      <w:r>
        <w:rPr>
          <w:rFonts w:ascii="Times New Roman" w:hAnsi="Times New Roman"/>
        </w:rPr>
        <w:t>浅黄色</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．深黄色</w:t>
      </w:r>
      <w:r>
        <w:rPr>
          <w:rFonts w:ascii="Times New Roman" w:hAnsi="Times New Roman"/>
        </w:rPr>
        <w:t>♀×</w:t>
      </w:r>
      <w:r>
        <w:rPr>
          <w:rFonts w:ascii="Times New Roman" w:hAnsi="Times New Roman"/>
        </w:rPr>
        <w:t>白色</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．浅黄色</w:t>
      </w:r>
      <w:r>
        <w:rPr>
          <w:rFonts w:ascii="Times New Roman" w:hAnsi="Times New Roman"/>
        </w:rPr>
        <w:t>♀×</w:t>
      </w:r>
      <w:r>
        <w:rPr>
          <w:rFonts w:ascii="Times New Roman" w:hAnsi="Times New Roman"/>
        </w:rPr>
        <w:t>深黄色</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18</w:t>
      </w:r>
      <w:r>
        <w:rPr>
          <w:rFonts w:ascii="Times New Roman" w:hAnsi="Times New Roman"/>
        </w:rPr>
        <w:t>．某种单基因隐性遗传病与</w:t>
      </w:r>
      <w:r>
        <w:rPr>
          <w:rFonts w:ascii="Times New Roman" w:hAnsi="Times New Roman"/>
        </w:rPr>
        <w:t>M</w:t>
      </w:r>
      <w:r>
        <w:rPr>
          <w:rFonts w:ascii="Times New Roman" w:hAnsi="Times New Roman"/>
        </w:rPr>
        <w:t>基因的突变有关。</w:t>
      </w:r>
      <w:r>
        <w:rPr>
          <w:rFonts w:ascii="Times New Roman" w:hAnsi="Times New Roman"/>
        </w:rPr>
        <w:t>某患者</w:t>
      </w:r>
      <w:r>
        <w:rPr>
          <w:rFonts w:ascii="Times New Roman" w:hAnsi="Times New Roman"/>
        </w:rPr>
        <w:t>与其父母的同源染色体</w:t>
      </w:r>
      <w:r>
        <w:rPr>
          <w:rFonts w:ascii="Times New Roman" w:hAnsi="Times New Roman"/>
        </w:rPr>
        <w:t>M</w:t>
      </w:r>
      <w:r>
        <w:rPr>
          <w:rFonts w:ascii="Times New Roman" w:hAnsi="Times New Roman"/>
        </w:rPr>
        <w:t>基因相关序列的检测结果如图所示，其父亲、母亲具有突变位点</w:t>
      </w:r>
      <w:r>
        <w:rPr>
          <w:rFonts w:ascii="宋体" w:hAnsi="宋体" w:cs="宋体" w:hint="eastAsia"/>
        </w:rPr>
        <w:t>①</w:t>
      </w:r>
      <w:r>
        <w:rPr>
          <w:rFonts w:ascii="Times New Roman" w:hAnsi="Times New Roman"/>
        </w:rPr>
        <w:t>或</w:t>
      </w:r>
      <w:r>
        <w:rPr>
          <w:rFonts w:ascii="宋体" w:hAnsi="宋体" w:cs="宋体" w:hint="eastAsia"/>
        </w:rPr>
        <w:t>②</w:t>
      </w:r>
      <w:r>
        <w:rPr>
          <w:rFonts w:ascii="Times New Roman" w:hAnsi="Times New Roman"/>
        </w:rPr>
        <w:t>，但表型均正常。不考虑</w:t>
      </w:r>
      <w:r>
        <w:rPr>
          <w:rFonts w:ascii="Times New Roman" w:hAnsi="Times New Roman"/>
        </w:rPr>
        <w:t>X</w:t>
      </w:r>
      <w:r>
        <w:rPr>
          <w:rFonts w:ascii="Times New Roman" w:hAnsi="Times New Roman"/>
        </w:rPr>
        <w:t>、</w:t>
      </w:r>
      <w:r>
        <w:rPr>
          <w:rFonts w:ascii="Times New Roman" w:hAnsi="Times New Roman"/>
        </w:rPr>
        <w:t>Y</w:t>
      </w:r>
      <w:r>
        <w:rPr>
          <w:rFonts w:ascii="Times New Roman" w:hAnsi="Times New Roman"/>
        </w:rPr>
        <w:t>染色体同源区段的情况，下列分析错误的是（</w:t>
      </w:r>
      <w:r>
        <w:rPr>
          <w:rFonts w:ascii="Times New Roman" w:hAnsi="Times New Roman"/>
        </w:rPr>
        <w:t xml:space="preserve">   </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3267075" cy="16287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xmlns:r="http://schemas.openxmlformats.org/officeDocument/2006/relationships" r:embed="rId14"/>
                    <a:stretch>
                      <a:fillRect/>
                    </a:stretch>
                  </pic:blipFill>
                  <pic:spPr>
                    <a:xfrm>
                      <a:off x="0" y="0"/>
                      <a:ext cx="3267075" cy="1628775"/>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A</w:t>
      </w:r>
      <w:r>
        <w:rPr>
          <w:rFonts w:ascii="Times New Roman" w:hAnsi="Times New Roman"/>
        </w:rPr>
        <w:t>．致病基因为</w:t>
      </w:r>
      <w:r>
        <w:rPr>
          <w:rFonts w:ascii="Times New Roman" w:hAnsi="Times New Roman"/>
        </w:rPr>
        <w:t>X</w:t>
      </w:r>
      <w:r>
        <w:rPr>
          <w:rFonts w:ascii="Times New Roman" w:hAnsi="Times New Roman"/>
        </w:rPr>
        <w:t>染色体上的隐性基因</w:t>
      </w:r>
    </w:p>
    <w:p w:rsidR="002B368A" w:rsidP="002B368A">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M</w:t>
      </w:r>
      <w:r>
        <w:rPr>
          <w:rFonts w:ascii="Times New Roman" w:hAnsi="Times New Roman"/>
        </w:rPr>
        <w:t>基因位点</w:t>
      </w:r>
      <w:r>
        <w:rPr>
          <w:rFonts w:ascii="宋体" w:hAnsi="宋体" w:cs="宋体" w:hint="eastAsia"/>
        </w:rPr>
        <w:t>①</w:t>
      </w:r>
      <w:r>
        <w:rPr>
          <w:rFonts w:ascii="Times New Roman" w:hAnsi="Times New Roman"/>
        </w:rPr>
        <w:t>的碱基对为</w:t>
      </w:r>
      <w:r>
        <w:rPr>
          <w:rFonts w:ascii="Times New Roman" w:hAnsi="Times New Roman"/>
        </w:rPr>
        <w:t>A—T</w:t>
      </w:r>
    </w:p>
    <w:p w:rsidR="002B368A" w:rsidP="002B368A">
      <w:pPr>
        <w:spacing w:line="288" w:lineRule="auto"/>
        <w:jc w:val="left"/>
        <w:rPr>
          <w:rFonts w:ascii="Times New Roman" w:hAnsi="Times New Roman"/>
        </w:rPr>
      </w:pPr>
      <w:r>
        <w:rPr>
          <w:rFonts w:ascii="Times New Roman" w:hAnsi="Times New Roman"/>
        </w:rPr>
        <w:t>C</w:t>
      </w:r>
      <w:r>
        <w:rPr>
          <w:rFonts w:ascii="Times New Roman" w:hAnsi="Times New Roman"/>
        </w:rPr>
        <w:t>．突变的</w:t>
      </w:r>
      <w:r>
        <w:rPr>
          <w:rFonts w:ascii="Times New Roman" w:hAnsi="Times New Roman"/>
        </w:rPr>
        <w:t>M</w:t>
      </w:r>
      <w:r>
        <w:rPr>
          <w:rFonts w:ascii="Times New Roman" w:hAnsi="Times New Roman"/>
        </w:rPr>
        <w:t>基因位点</w:t>
      </w:r>
      <w:r>
        <w:rPr>
          <w:rFonts w:ascii="宋体" w:hAnsi="宋体" w:cs="宋体" w:hint="eastAsia"/>
        </w:rPr>
        <w:t>②</w:t>
      </w:r>
      <w:r>
        <w:rPr>
          <w:rFonts w:ascii="Times New Roman" w:hAnsi="Times New Roman"/>
        </w:rPr>
        <w:t>的碱基对为</w:t>
      </w:r>
      <w:r>
        <w:rPr>
          <w:rFonts w:ascii="Times New Roman" w:hAnsi="Times New Roman"/>
        </w:rPr>
        <w:t>C—G</w:t>
      </w:r>
    </w:p>
    <w:p w:rsidR="002B368A" w:rsidP="002B368A">
      <w:pPr>
        <w:spacing w:line="288" w:lineRule="auto"/>
        <w:jc w:val="left"/>
        <w:rPr>
          <w:rFonts w:ascii="Times New Roman" w:hAnsi="Times New Roman"/>
        </w:rPr>
      </w:pPr>
      <w:r>
        <w:rPr>
          <w:rFonts w:ascii="Times New Roman" w:hAnsi="Times New Roman"/>
        </w:rPr>
        <w:t>D</w:t>
      </w:r>
      <w:r>
        <w:rPr>
          <w:rFonts w:ascii="Times New Roman" w:hAnsi="Times New Roman"/>
        </w:rPr>
        <w:t>．其父母再生育</w:t>
      </w:r>
      <w:r>
        <w:rPr>
          <w:rFonts w:ascii="Times New Roman" w:hAnsi="Times New Roman"/>
        </w:rPr>
        <w:t>1</w:t>
      </w:r>
      <w:r>
        <w:rPr>
          <w:rFonts w:ascii="Times New Roman" w:hAnsi="Times New Roman"/>
        </w:rPr>
        <w:t>个患病女孩的概率为</w:t>
      </w:r>
      <w:r>
        <w:rPr>
          <w:rFonts w:ascii="Times New Roman" w:hAnsi="Times New Roman"/>
        </w:rPr>
        <w:t>1/4</w:t>
      </w:r>
    </w:p>
    <w:p w:rsidR="002B368A" w:rsidP="002B368A">
      <w:pPr>
        <w:spacing w:line="288" w:lineRule="auto"/>
        <w:jc w:val="left"/>
        <w:rPr>
          <w:rFonts w:ascii="Times New Roman" w:hAnsi="Times New Roman"/>
          <w:b/>
          <w:sz w:val="24"/>
        </w:rPr>
      </w:pPr>
      <w:r>
        <w:rPr>
          <w:rFonts w:ascii="Times New Roman" w:hAnsi="Times New Roman"/>
          <w:b/>
          <w:sz w:val="24"/>
        </w:rPr>
        <w:t>三、非选择题：本题共</w:t>
      </w:r>
      <w:r>
        <w:rPr>
          <w:rFonts w:ascii="Times New Roman" w:hAnsi="Times New Roman"/>
          <w:b/>
          <w:sz w:val="24"/>
        </w:rPr>
        <w:t>5</w:t>
      </w:r>
      <w:r>
        <w:rPr>
          <w:rFonts w:ascii="Times New Roman" w:hAnsi="Times New Roman"/>
          <w:b/>
          <w:sz w:val="24"/>
        </w:rPr>
        <w:t>小题，共</w:t>
      </w:r>
      <w:r>
        <w:rPr>
          <w:rFonts w:ascii="Times New Roman" w:hAnsi="Times New Roman"/>
          <w:b/>
          <w:sz w:val="24"/>
        </w:rPr>
        <w:t>59</w:t>
      </w:r>
      <w:r>
        <w:rPr>
          <w:rFonts w:ascii="Times New Roman" w:hAnsi="Times New Roman"/>
          <w:b/>
          <w:sz w:val="24"/>
        </w:rPr>
        <w:t>分。</w:t>
      </w:r>
    </w:p>
    <w:p w:rsidR="002B368A" w:rsidP="002B368A">
      <w:pPr>
        <w:spacing w:line="288" w:lineRule="auto"/>
        <w:jc w:val="left"/>
        <w:rPr>
          <w:rFonts w:ascii="Times New Roman" w:hAnsi="Times New Roman"/>
        </w:rPr>
      </w:pPr>
      <w:r>
        <w:rPr>
          <w:rFonts w:ascii="Times New Roman" w:hAnsi="Times New Roman"/>
        </w:rPr>
        <w:t>19</w:t>
      </w:r>
      <w:r>
        <w:rPr>
          <w:rFonts w:ascii="Times New Roman" w:hAnsi="Times New Roman"/>
        </w:rPr>
        <w:t>．（</w:t>
      </w:r>
      <w:r>
        <w:rPr>
          <w:rFonts w:ascii="Times New Roman" w:hAnsi="Times New Roman"/>
        </w:rPr>
        <w:t>12</w:t>
      </w:r>
      <w:r>
        <w:rPr>
          <w:rFonts w:ascii="Times New Roman" w:hAnsi="Times New Roman"/>
        </w:rPr>
        <w:t>分）线粒体中约</w:t>
      </w:r>
      <w:r>
        <w:rPr>
          <w:rFonts w:ascii="Times New Roman" w:hAnsi="Times New Roman"/>
        </w:rPr>
        <w:t>90%</w:t>
      </w:r>
      <w:r>
        <w:rPr>
          <w:rFonts w:ascii="Times New Roman" w:hAnsi="Times New Roman"/>
        </w:rPr>
        <w:t>的</w:t>
      </w:r>
      <w:r>
        <w:rPr>
          <w:rFonts w:ascii="Times New Roman" w:hAnsi="Times New Roman"/>
        </w:rPr>
        <w:t>蛋白质由核基因</w:t>
      </w:r>
      <w:r>
        <w:rPr>
          <w:rFonts w:ascii="Times New Roman" w:hAnsi="Times New Roman"/>
        </w:rPr>
        <w:t>编码，线粒体蛋白（</w:t>
      </w:r>
      <w:r>
        <w:rPr>
          <w:rFonts w:ascii="Times New Roman" w:hAnsi="Times New Roman"/>
        </w:rPr>
        <w:t>MP</w:t>
      </w:r>
      <w:r>
        <w:rPr>
          <w:rFonts w:ascii="Times New Roman" w:hAnsi="Times New Roman"/>
        </w:rPr>
        <w:t>）参与调控线粒体的代谢活动。线粒体前体蛋白（</w:t>
      </w:r>
      <w:r>
        <w:rPr>
          <w:rFonts w:ascii="Times New Roman" w:hAnsi="Times New Roman"/>
        </w:rPr>
        <w:t>MPP</w:t>
      </w:r>
      <w:r>
        <w:rPr>
          <w:rFonts w:ascii="Times New Roman" w:hAnsi="Times New Roman"/>
        </w:rPr>
        <w:t>）合成后转运到线粒体中，并加工为成熟的</w:t>
      </w:r>
      <w:r>
        <w:rPr>
          <w:rFonts w:ascii="Times New Roman" w:hAnsi="Times New Roman"/>
        </w:rPr>
        <w:t>MP</w:t>
      </w:r>
      <w:r>
        <w:rPr>
          <w:rFonts w:ascii="Times New Roman" w:hAnsi="Times New Roman"/>
        </w:rPr>
        <w:t>，过程如图所示。回答下列问题：</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5514975" cy="18573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xmlns:r="http://schemas.openxmlformats.org/officeDocument/2006/relationships" r:embed="rId15"/>
                    <a:stretch>
                      <a:fillRect/>
                    </a:stretch>
                  </pic:blipFill>
                  <pic:spPr>
                    <a:xfrm>
                      <a:off x="0" y="0"/>
                      <a:ext cx="5514975" cy="1857375"/>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）在细胞中，合成</w:t>
      </w:r>
      <w:r>
        <w:rPr>
          <w:rFonts w:ascii="Times New Roman" w:hAnsi="Times New Roman"/>
        </w:rPr>
        <w:t>MPP</w:t>
      </w:r>
      <w:r>
        <w:rPr>
          <w:rFonts w:ascii="Times New Roman" w:hAnsi="Times New Roman"/>
        </w:rPr>
        <w:t>的细胞器是</w:t>
      </w:r>
      <w:r>
        <w:rPr>
          <w:rFonts w:ascii="Times New Roman" w:hAnsi="Times New Roman"/>
        </w:rPr>
        <w:t>______</w:t>
      </w:r>
      <w:r>
        <w:rPr>
          <w:rFonts w:ascii="Times New Roman" w:hAnsi="Times New Roman"/>
        </w:rPr>
        <w:t>。据图分析，</w:t>
      </w:r>
      <w:r>
        <w:rPr>
          <w:rFonts w:ascii="Times New Roman" w:hAnsi="Times New Roman"/>
        </w:rPr>
        <w:t>MPP</w:t>
      </w:r>
      <w:r>
        <w:rPr>
          <w:rFonts w:ascii="Times New Roman" w:hAnsi="Times New Roman"/>
        </w:rPr>
        <w:t>信号序列的末端携带了特定的化学基团</w:t>
      </w:r>
      <w:r>
        <w:rPr>
          <w:rFonts w:ascii="Times New Roman" w:hAnsi="Times New Roman"/>
        </w:rPr>
        <w:t>NH</w:t>
      </w:r>
      <w:r>
        <w:rPr>
          <w:rFonts w:ascii="Times New Roman" w:hAnsi="Times New Roman"/>
          <w:vertAlign w:val="subscript"/>
        </w:rPr>
        <w:t>3</w:t>
      </w:r>
      <w:r>
        <w:rPr>
          <w:rFonts w:ascii="Times New Roman" w:hAnsi="Times New Roman"/>
          <w:vertAlign w:val="superscript"/>
        </w:rPr>
        <w:t>+</w:t>
      </w:r>
      <w:r>
        <w:rPr>
          <w:rFonts w:ascii="Times New Roman" w:hAnsi="Times New Roman"/>
        </w:rPr>
        <w:t>，</w:t>
      </w:r>
      <w:r>
        <w:rPr>
          <w:rFonts w:ascii="Times New Roman" w:hAnsi="Times New Roman"/>
        </w:rPr>
        <w:t>MPP</w:t>
      </w:r>
      <w:r>
        <w:rPr>
          <w:rFonts w:ascii="Times New Roman" w:hAnsi="Times New Roman"/>
        </w:rPr>
        <w:t>肽链的另一端携带的化学基团为</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）在</w:t>
      </w:r>
      <w:r>
        <w:rPr>
          <w:rFonts w:ascii="Times New Roman" w:hAnsi="Times New Roman"/>
        </w:rPr>
        <w:t>MPP</w:t>
      </w:r>
      <w:r>
        <w:rPr>
          <w:rFonts w:ascii="Times New Roman" w:hAnsi="Times New Roman"/>
        </w:rPr>
        <w:t>进入线粒体的过程中，分子伴侣</w:t>
      </w:r>
      <w:r>
        <w:rPr>
          <w:rFonts w:ascii="Times New Roman" w:hAnsi="Times New Roman"/>
        </w:rPr>
        <w:t>HSP-70</w:t>
      </w:r>
      <w:r>
        <w:rPr>
          <w:rFonts w:ascii="Times New Roman" w:hAnsi="Times New Roman"/>
        </w:rPr>
        <w:t>发挥</w:t>
      </w:r>
      <w:r>
        <w:rPr>
          <w:rFonts w:ascii="Times New Roman" w:hAnsi="Times New Roman"/>
        </w:rPr>
        <w:t>______</w:t>
      </w:r>
      <w:r>
        <w:rPr>
          <w:rFonts w:ascii="Times New Roman" w:hAnsi="Times New Roman"/>
        </w:rPr>
        <w:t>的作用，线粒体</w:t>
      </w:r>
      <w:r>
        <w:rPr>
          <w:rFonts w:ascii="Times New Roman" w:hAnsi="Times New Roman"/>
        </w:rPr>
        <w:t>HSP-70</w:t>
      </w:r>
      <w:r>
        <w:rPr>
          <w:rFonts w:ascii="Times New Roman" w:hAnsi="Times New Roman"/>
        </w:rPr>
        <w:t>发挥的作用是</w:t>
      </w:r>
      <w:r>
        <w:rPr>
          <w:rFonts w:ascii="Times New Roman" w:hAnsi="Times New Roman"/>
        </w:rPr>
        <w:t>______</w:t>
      </w:r>
      <w:r>
        <w:rPr>
          <w:rFonts w:ascii="Times New Roman" w:hAnsi="Times New Roman"/>
        </w:rPr>
        <w:t>。在线粒体中，由</w:t>
      </w:r>
      <w:r>
        <w:rPr>
          <w:rFonts w:ascii="Times New Roman" w:hAnsi="Times New Roman"/>
        </w:rPr>
        <w:t>MPP</w:t>
      </w:r>
      <w:r>
        <w:rPr>
          <w:rFonts w:ascii="Times New Roman" w:hAnsi="Times New Roman"/>
        </w:rPr>
        <w:t>加工为成熟的</w:t>
      </w:r>
      <w:r>
        <w:rPr>
          <w:rFonts w:ascii="Times New Roman" w:hAnsi="Times New Roman"/>
        </w:rPr>
        <w:t>MP</w:t>
      </w:r>
      <w:r>
        <w:rPr>
          <w:rFonts w:ascii="Times New Roman" w:hAnsi="Times New Roman"/>
        </w:rPr>
        <w:t>时，需要</w:t>
      </w:r>
      <w:r>
        <w:rPr>
          <w:rFonts w:ascii="Times New Roman" w:hAnsi="Times New Roman"/>
        </w:rPr>
        <w:t>______</w:t>
      </w:r>
      <w:r>
        <w:rPr>
          <w:rFonts w:ascii="Times New Roman" w:hAnsi="Times New Roman"/>
        </w:rPr>
        <w:t>的催化。</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）在受精前后，卵细胞的同一线粒体中蛋白质的组成有差异，原因是</w:t>
      </w:r>
      <w:r>
        <w:rPr>
          <w:rFonts w:ascii="Times New Roman" w:hAnsi="Times New Roman"/>
        </w:rPr>
        <w:t>______</w:t>
      </w:r>
      <w:r>
        <w:rPr>
          <w:rFonts w:ascii="Times New Roman" w:hAnsi="Times New Roman"/>
        </w:rPr>
        <w:t>。在细胞分裂前的间期，短时间内会合成大量的蛋白质，其依赖于</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）已知</w:t>
      </w:r>
      <w:r>
        <w:rPr>
          <w:rFonts w:ascii="Times New Roman" w:hAnsi="Times New Roman"/>
        </w:rPr>
        <w:t>MPP</w:t>
      </w:r>
      <w:r>
        <w:rPr>
          <w:rFonts w:ascii="Times New Roman" w:hAnsi="Times New Roman"/>
        </w:rPr>
        <w:t>含有信号序列是其进入线粒体的前提。为验证该结论，实验的思路是</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20</w:t>
      </w:r>
      <w:r>
        <w:rPr>
          <w:rFonts w:ascii="Times New Roman" w:hAnsi="Times New Roman"/>
        </w:rPr>
        <w:t>．（</w:t>
      </w:r>
      <w:r>
        <w:rPr>
          <w:rFonts w:ascii="Times New Roman" w:hAnsi="Times New Roman"/>
        </w:rPr>
        <w:t>12</w:t>
      </w:r>
      <w:r>
        <w:rPr>
          <w:rFonts w:ascii="Times New Roman" w:hAnsi="Times New Roman"/>
        </w:rPr>
        <w:t>分）研究人员获得了水稻的突变体（</w:t>
      </w:r>
      <w:r>
        <w:rPr>
          <w:rFonts w:ascii="Times New Roman" w:hAnsi="Times New Roman"/>
        </w:rPr>
        <w:t>mut</w:t>
      </w:r>
      <w:r>
        <w:rPr>
          <w:rFonts w:ascii="Times New Roman" w:hAnsi="Times New Roman"/>
        </w:rPr>
        <w:t>），其叶绿素的含量低于野生型（</w:t>
      </w:r>
      <w:r>
        <w:rPr>
          <w:rFonts w:ascii="Times New Roman" w:hAnsi="Times New Roman"/>
        </w:rPr>
        <w:t>WT</w:t>
      </w:r>
      <w:r>
        <w:rPr>
          <w:rFonts w:ascii="Times New Roman" w:hAnsi="Times New Roman"/>
        </w:rPr>
        <w:t>）的。将两种水稻移入低温和高温的人工气候室中，</w:t>
      </w:r>
      <w:r>
        <w:rPr>
          <w:rFonts w:ascii="Times New Roman" w:hAnsi="Times New Roman"/>
        </w:rPr>
        <w:t>其余条件</w:t>
      </w:r>
      <w:r>
        <w:rPr>
          <w:rFonts w:ascii="Times New Roman" w:hAnsi="Times New Roman"/>
        </w:rPr>
        <w:t>相同且适宜。培养一段时间，测量水稻光合速率的变化，结果如图</w:t>
      </w:r>
      <w:r>
        <w:rPr>
          <w:rFonts w:ascii="Times New Roman" w:hAnsi="Times New Roman"/>
        </w:rPr>
        <w:t>1</w:t>
      </w:r>
      <w:r>
        <w:rPr>
          <w:rFonts w:ascii="Times New Roman" w:hAnsi="Times New Roman"/>
        </w:rPr>
        <w:t>所示。回答下列问题：</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5619750" cy="2400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xmlns:r="http://schemas.openxmlformats.org/officeDocument/2006/relationships" r:embed="rId16"/>
                    <a:stretch>
                      <a:fillRect/>
                    </a:stretch>
                  </pic:blipFill>
                  <pic:spPr>
                    <a:xfrm>
                      <a:off x="0" y="0"/>
                      <a:ext cx="5619750" cy="2400300"/>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）水稻进行光合作用时，叶绿体色素主要吸收可见光中的</w:t>
      </w:r>
      <w:r>
        <w:rPr>
          <w:rFonts w:ascii="Times New Roman" w:hAnsi="Times New Roman"/>
        </w:rPr>
        <w:t>______</w:t>
      </w:r>
      <w:r>
        <w:rPr>
          <w:rFonts w:ascii="Times New Roman" w:hAnsi="Times New Roman"/>
        </w:rPr>
        <w:t>（</w:t>
      </w:r>
      <w:r>
        <w:rPr>
          <w:rFonts w:ascii="Times New Roman" w:hAnsi="Times New Roman"/>
        </w:rPr>
        <w:t>填光质</w:t>
      </w:r>
      <w:r>
        <w:rPr>
          <w:rFonts w:ascii="Times New Roman" w:hAnsi="Times New Roman"/>
        </w:rPr>
        <w:t>），合成的</w:t>
      </w:r>
      <w:r>
        <w:rPr>
          <w:rFonts w:ascii="Times New Roman" w:hAnsi="Times New Roman"/>
        </w:rPr>
        <w:t>NADPH</w:t>
      </w:r>
      <w:r>
        <w:rPr>
          <w:rFonts w:ascii="Times New Roman" w:hAnsi="Times New Roman"/>
        </w:rPr>
        <w:t>和</w:t>
      </w:r>
      <w:r>
        <w:rPr>
          <w:rFonts w:ascii="Times New Roman" w:hAnsi="Times New Roman"/>
        </w:rPr>
        <w:t>ATP</w:t>
      </w:r>
      <w:r>
        <w:rPr>
          <w:rFonts w:ascii="Times New Roman" w:hAnsi="Times New Roman"/>
        </w:rPr>
        <w:t>为暗反应中</w:t>
      </w:r>
      <w:r>
        <w:rPr>
          <w:rFonts w:ascii="Times New Roman" w:hAnsi="Times New Roman"/>
        </w:rPr>
        <w:t>______</w:t>
      </w:r>
      <w:r>
        <w:rPr>
          <w:rFonts w:ascii="Times New Roman" w:hAnsi="Times New Roman"/>
        </w:rPr>
        <w:t>提供能量和还原剂。在低温人工气候室中，光照强度低于</w:t>
      </w:r>
      <w:r>
        <w:rPr>
          <w:rFonts w:ascii="Times New Roman" w:hAnsi="Times New Roman"/>
        </w:rPr>
        <w:t>1000mmol·m</w:t>
      </w:r>
      <w:r>
        <w:rPr>
          <w:rFonts w:ascii="Times New Roman" w:hAnsi="Times New Roman"/>
          <w:vertAlign w:val="superscript"/>
        </w:rPr>
        <w:t>-2</w:t>
      </w:r>
      <w:r>
        <w:rPr>
          <w:rFonts w:ascii="Times New Roman" w:hAnsi="Times New Roman"/>
        </w:rPr>
        <w:t>·s</w:t>
      </w:r>
      <w:r>
        <w:rPr>
          <w:rFonts w:ascii="Times New Roman" w:hAnsi="Times New Roman"/>
          <w:vertAlign w:val="superscript"/>
        </w:rPr>
        <w:t>-1</w:t>
      </w:r>
      <w:r>
        <w:rPr>
          <w:rFonts w:ascii="Times New Roman" w:hAnsi="Times New Roman"/>
        </w:rPr>
        <w:t>时，</w:t>
      </w:r>
      <w:r>
        <w:rPr>
          <w:rFonts w:ascii="Times New Roman" w:hAnsi="Times New Roman"/>
        </w:rPr>
        <w:t>mut</w:t>
      </w:r>
      <w:r>
        <w:rPr>
          <w:rFonts w:ascii="Times New Roman" w:hAnsi="Times New Roman"/>
        </w:rPr>
        <w:t>的光合速率低于</w:t>
      </w:r>
      <w:r>
        <w:rPr>
          <w:rFonts w:ascii="Times New Roman" w:hAnsi="Times New Roman"/>
        </w:rPr>
        <w:t>WT</w:t>
      </w:r>
      <w:r>
        <w:rPr>
          <w:rFonts w:ascii="Times New Roman" w:hAnsi="Times New Roman"/>
        </w:rPr>
        <w:t>的，原因主要是</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）在高温人工气候室中，光照强度为</w:t>
      </w:r>
      <w:r>
        <w:rPr>
          <w:rFonts w:ascii="Times New Roman" w:hAnsi="Times New Roman"/>
        </w:rPr>
        <w:t>1000mmol·m</w:t>
      </w:r>
      <w:r>
        <w:rPr>
          <w:rFonts w:ascii="Times New Roman" w:hAnsi="Times New Roman"/>
          <w:vertAlign w:val="superscript"/>
        </w:rPr>
        <w:t>-2</w:t>
      </w:r>
      <w:r>
        <w:rPr>
          <w:rFonts w:ascii="Times New Roman" w:hAnsi="Times New Roman"/>
        </w:rPr>
        <w:t>·s</w:t>
      </w:r>
      <w:r>
        <w:rPr>
          <w:rFonts w:ascii="Times New Roman" w:hAnsi="Times New Roman"/>
          <w:vertAlign w:val="superscript"/>
        </w:rPr>
        <w:t>-1</w:t>
      </w:r>
      <w:r>
        <w:rPr>
          <w:rFonts w:ascii="Times New Roman" w:hAnsi="Times New Roman"/>
        </w:rPr>
        <w:t>和</w:t>
      </w:r>
      <w:r>
        <w:rPr>
          <w:rFonts w:ascii="Times New Roman" w:hAnsi="Times New Roman"/>
        </w:rPr>
        <w:t>2000mmol·m</w:t>
      </w:r>
      <w:r>
        <w:rPr>
          <w:rFonts w:ascii="Times New Roman" w:hAnsi="Times New Roman"/>
          <w:vertAlign w:val="superscript"/>
        </w:rPr>
        <w:t>-2</w:t>
      </w:r>
      <w:r>
        <w:rPr>
          <w:rFonts w:ascii="Times New Roman" w:hAnsi="Times New Roman"/>
        </w:rPr>
        <w:t>·s-</w:t>
      </w:r>
      <w:r>
        <w:rPr>
          <w:rFonts w:ascii="Times New Roman" w:hAnsi="Times New Roman"/>
        </w:rPr>
        <w:t>时，</w:t>
      </w:r>
      <w:r>
        <w:rPr>
          <w:rFonts w:ascii="Times New Roman" w:hAnsi="Times New Roman"/>
        </w:rPr>
        <w:t>mut</w:t>
      </w:r>
      <w:r>
        <w:rPr>
          <w:rFonts w:ascii="Times New Roman" w:hAnsi="Times New Roman"/>
        </w:rPr>
        <w:t>和</w:t>
      </w:r>
      <w:r>
        <w:rPr>
          <w:rFonts w:ascii="Times New Roman" w:hAnsi="Times New Roman"/>
        </w:rPr>
        <w:t>WT</w:t>
      </w:r>
      <w:r>
        <w:rPr>
          <w:rFonts w:ascii="Times New Roman" w:hAnsi="Times New Roman"/>
        </w:rPr>
        <w:t>的气孔导度和</w:t>
      </w:r>
      <w:r>
        <w:rPr>
          <w:rFonts w:ascii="Times New Roman" w:hAnsi="Times New Roman"/>
        </w:rPr>
        <w:t>胞间</w:t>
      </w:r>
      <w:r>
        <w:rPr>
          <w:rFonts w:ascii="Times New Roman" w:hAnsi="Times New Roman"/>
        </w:rPr>
        <w:t>CO</w:t>
      </w:r>
      <w:r>
        <w:rPr>
          <w:rFonts w:ascii="Times New Roman" w:hAnsi="Times New Roman"/>
          <w:vertAlign w:val="subscript"/>
        </w:rPr>
        <w:t>2</w:t>
      </w:r>
      <w:r>
        <w:rPr>
          <w:rFonts w:ascii="Times New Roman" w:hAnsi="Times New Roman"/>
        </w:rPr>
        <w:t>浓度如图</w:t>
      </w:r>
      <w:r>
        <w:rPr>
          <w:rFonts w:ascii="Times New Roman" w:hAnsi="Times New Roman"/>
        </w:rPr>
        <w:t>2</w:t>
      </w:r>
      <w:r>
        <w:rPr>
          <w:rFonts w:ascii="Times New Roman" w:hAnsi="Times New Roman"/>
        </w:rPr>
        <w:t>所示。在光饱和点（光合速率最大时的最低光照强度）时，</w:t>
      </w:r>
      <w:r>
        <w:rPr>
          <w:rFonts w:ascii="Times New Roman" w:hAnsi="Times New Roman"/>
        </w:rPr>
        <w:t>mut</w:t>
      </w:r>
      <w:r>
        <w:rPr>
          <w:rFonts w:ascii="Times New Roman" w:hAnsi="Times New Roman"/>
        </w:rPr>
        <w:t>固定</w:t>
      </w:r>
      <w:r>
        <w:rPr>
          <w:rFonts w:ascii="Times New Roman" w:hAnsi="Times New Roman"/>
        </w:rPr>
        <w:t>CO</w:t>
      </w:r>
      <w:r>
        <w:rPr>
          <w:rFonts w:ascii="Times New Roman" w:hAnsi="Times New Roman"/>
          <w:vertAlign w:val="subscript"/>
        </w:rPr>
        <w:t>2</w:t>
      </w:r>
      <w:r>
        <w:rPr>
          <w:rFonts w:ascii="Times New Roman" w:hAnsi="Times New Roman"/>
        </w:rPr>
        <w:t>的速率比</w:t>
      </w:r>
      <w:r>
        <w:rPr>
          <w:rFonts w:ascii="Times New Roman" w:hAnsi="Times New Roman"/>
        </w:rPr>
        <w:t>WT</w:t>
      </w:r>
      <w:r>
        <w:rPr>
          <w:rFonts w:ascii="Times New Roman" w:hAnsi="Times New Roman"/>
        </w:rPr>
        <w:t>的</w:t>
      </w:r>
      <w:r>
        <w:rPr>
          <w:rFonts w:ascii="Times New Roman" w:hAnsi="Times New Roman"/>
        </w:rPr>
        <w:t>______</w:t>
      </w:r>
      <w:r>
        <w:rPr>
          <w:rFonts w:ascii="Times New Roman" w:hAnsi="Times New Roman"/>
        </w:rPr>
        <w:t>（填</w:t>
      </w:r>
      <w:r>
        <w:rPr>
          <w:rFonts w:ascii="Times New Roman" w:hAnsi="Times New Roman"/>
        </w:rPr>
        <w:t>“</w:t>
      </w:r>
      <w:r>
        <w:rPr>
          <w:rFonts w:ascii="Times New Roman" w:hAnsi="Times New Roman"/>
        </w:rPr>
        <w:t>低</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高</w:t>
      </w:r>
      <w:r>
        <w:rPr>
          <w:rFonts w:ascii="Times New Roman" w:hAnsi="Times New Roman"/>
        </w:rPr>
        <w:t>”</w:t>
      </w:r>
      <w:r>
        <w:rPr>
          <w:rFonts w:ascii="Times New Roman" w:hAnsi="Times New Roman"/>
        </w:rPr>
        <w:t>），结合图</w:t>
      </w:r>
      <w:r>
        <w:rPr>
          <w:rFonts w:ascii="Times New Roman" w:hAnsi="Times New Roman"/>
        </w:rPr>
        <w:t>2</w:t>
      </w:r>
      <w:r>
        <w:rPr>
          <w:rFonts w:ascii="Times New Roman" w:hAnsi="Times New Roman"/>
        </w:rPr>
        <w:t>分析，原因是</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3947160" cy="1845310"/>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xmlns:r="http://schemas.openxmlformats.org/officeDocument/2006/relationships" r:embed="rId17"/>
                    <a:stretch>
                      <a:fillRect/>
                    </a:stretch>
                  </pic:blipFill>
                  <pic:spPr>
                    <a:xfrm>
                      <a:off x="0" y="0"/>
                      <a:ext cx="3953408" cy="1848776"/>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）过量吸收光能会产生超氧阴离子并损伤叶绿体膜而出现光合抑制。研究人员检测了高温人工气候室中水稻叶绿体的超微结构，发现</w:t>
      </w:r>
      <w:r>
        <w:rPr>
          <w:rFonts w:ascii="Times New Roman" w:hAnsi="Times New Roman"/>
        </w:rPr>
        <w:t>mut</w:t>
      </w:r>
      <w:r>
        <w:rPr>
          <w:rFonts w:ascii="Times New Roman" w:hAnsi="Times New Roman"/>
        </w:rPr>
        <w:t>的类囊体堆叠紧密、清晰，片层连接形成连续的膜体系，而</w:t>
      </w:r>
      <w:r>
        <w:rPr>
          <w:rFonts w:ascii="Times New Roman" w:hAnsi="Times New Roman"/>
        </w:rPr>
        <w:t>WT</w:t>
      </w:r>
      <w:r>
        <w:rPr>
          <w:rFonts w:ascii="Times New Roman" w:hAnsi="Times New Roman"/>
        </w:rPr>
        <w:t>的叶绿体内部片层结构模糊。通过该生理现象，可初步解释图</w:t>
      </w:r>
      <w:r>
        <w:rPr>
          <w:rFonts w:ascii="Times New Roman" w:hAnsi="Times New Roman"/>
        </w:rPr>
        <w:t>1</w:t>
      </w:r>
      <w:r>
        <w:rPr>
          <w:rFonts w:ascii="Times New Roman" w:hAnsi="Times New Roman"/>
        </w:rPr>
        <w:t>中</w:t>
      </w:r>
      <w:r>
        <w:rPr>
          <w:rFonts w:ascii="Times New Roman" w:hAnsi="Times New Roman"/>
        </w:rPr>
        <w:t>______</w:t>
      </w:r>
      <w:r>
        <w:rPr>
          <w:rFonts w:ascii="Times New Roman" w:hAnsi="Times New Roman"/>
        </w:rPr>
        <w:t>的现象。</w:t>
      </w:r>
    </w:p>
    <w:p w:rsidR="002B368A" w:rsidP="002B368A">
      <w:pPr>
        <w:spacing w:line="288" w:lineRule="auto"/>
        <w:jc w:val="left"/>
        <w:rPr>
          <w:rFonts w:ascii="Times New Roman" w:hAnsi="Times New Roman"/>
        </w:rPr>
      </w:pPr>
      <w:r>
        <w:rPr>
          <w:rFonts w:ascii="Times New Roman" w:hAnsi="Times New Roman"/>
        </w:rPr>
        <w:t>21</w:t>
      </w:r>
      <w:r>
        <w:rPr>
          <w:rFonts w:ascii="Times New Roman" w:hAnsi="Times New Roman"/>
        </w:rPr>
        <w:t>．（</w:t>
      </w:r>
      <w:r>
        <w:rPr>
          <w:rFonts w:ascii="Times New Roman" w:hAnsi="Times New Roman"/>
        </w:rPr>
        <w:t>12</w:t>
      </w:r>
      <w:r>
        <w:rPr>
          <w:rFonts w:ascii="Times New Roman" w:hAnsi="Times New Roman"/>
        </w:rPr>
        <w:t>分）牡丹（</w:t>
      </w:r>
      <w:r>
        <w:rPr>
          <w:rFonts w:ascii="Times New Roman" w:hAnsi="Times New Roman"/>
        </w:rPr>
        <w:t>2n=10</w:t>
      </w:r>
      <w:r>
        <w:rPr>
          <w:rFonts w:ascii="Times New Roman" w:hAnsi="Times New Roman"/>
        </w:rPr>
        <w:t>）和芍药是我国的传统名花，二者杂交的后代为伊藤杂种。伊藤杂种花色丰富，抗性较强，</w:t>
      </w:r>
      <w:r>
        <w:rPr>
          <w:rFonts w:ascii="Times New Roman" w:hAnsi="Times New Roman"/>
        </w:rPr>
        <w:t>但育性</w:t>
      </w:r>
      <w:r>
        <w:rPr>
          <w:rFonts w:ascii="Times New Roman" w:hAnsi="Times New Roman"/>
        </w:rPr>
        <w:t>极低。实验小组以伊藤杂种的花药为材料，制成临时装片，观察花粉母细胞进行减数分裂时的染色体行为。回答下列问题：</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）观察处于减数分裂</w:t>
      </w:r>
      <w:r>
        <w:rPr>
          <w:rFonts w:ascii="Times New Roman" w:hAnsi="Times New Roman"/>
        </w:rPr>
        <w:t>I</w:t>
      </w:r>
      <w:r>
        <w:rPr>
          <w:rFonts w:ascii="Times New Roman" w:hAnsi="Times New Roman"/>
        </w:rPr>
        <w:t>前期的花粉母细胞，可观察到</w:t>
      </w:r>
      <w:r>
        <w:rPr>
          <w:rFonts w:ascii="Times New Roman" w:hAnsi="Times New Roman"/>
        </w:rPr>
        <w:t>______</w:t>
      </w:r>
      <w:r>
        <w:rPr>
          <w:rFonts w:ascii="Times New Roman" w:hAnsi="Times New Roman"/>
        </w:rPr>
        <w:t>配对形成</w:t>
      </w:r>
      <w:r>
        <w:rPr>
          <w:rFonts w:ascii="Times New Roman" w:hAnsi="Times New Roman"/>
        </w:rPr>
        <w:t>______</w:t>
      </w:r>
      <w:r>
        <w:rPr>
          <w:rFonts w:ascii="Times New Roman" w:hAnsi="Times New Roman"/>
        </w:rPr>
        <w:t>。已知伊滕杂种的染色体数目为</w:t>
      </w:r>
      <w:r>
        <w:rPr>
          <w:rFonts w:ascii="Times New Roman" w:hAnsi="Times New Roman"/>
        </w:rPr>
        <w:t>15</w:t>
      </w:r>
      <w:r>
        <w:rPr>
          <w:rFonts w:ascii="Times New Roman" w:hAnsi="Times New Roman"/>
        </w:rPr>
        <w:t>，则芍药的染色体数目为</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）观察到的处于减数分裂</w:t>
      </w:r>
      <w:r>
        <w:rPr>
          <w:rFonts w:ascii="Times New Roman" w:hAnsi="Times New Roman"/>
        </w:rPr>
        <w:t>I</w:t>
      </w:r>
      <w:r>
        <w:rPr>
          <w:rFonts w:ascii="Times New Roman" w:hAnsi="Times New Roman"/>
        </w:rPr>
        <w:t>时期染色体异常的细胞如图所示。</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3299460" cy="16452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xmlns:r="http://schemas.openxmlformats.org/officeDocument/2006/relationships" r:embed="rId18"/>
                    <a:stretch>
                      <a:fillRect/>
                    </a:stretch>
                  </pic:blipFill>
                  <pic:spPr>
                    <a:xfrm>
                      <a:off x="0" y="0"/>
                      <a:ext cx="3313706" cy="1652899"/>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细胞甲、乙分裂异常的原因分别是</w:t>
      </w:r>
      <w:r>
        <w:rPr>
          <w:rFonts w:ascii="Times New Roman" w:hAnsi="Times New Roman"/>
        </w:rPr>
        <w:t>______</w:t>
      </w:r>
      <w:r>
        <w:rPr>
          <w:rFonts w:ascii="Times New Roman" w:hAnsi="Times New Roman"/>
        </w:rPr>
        <w:t>和</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）在减数分裂的过程中，未能联会的染色体称为单价体。实验小组统计了伊藤杂种花粉母细胞中单价体的数目和细胞所占的比例，结果如表所示。</w:t>
      </w:r>
    </w:p>
    <w:tbl>
      <w:tblPr>
        <w:tblStyle w:val="TableGrid"/>
        <w:tblW w:w="0" w:type="auto"/>
        <w:tblLayout w:type="fixed"/>
        <w:tblLook w:val="04A0"/>
      </w:tblPr>
      <w:tblGrid>
        <w:gridCol w:w="2106"/>
        <w:gridCol w:w="584"/>
        <w:gridCol w:w="584"/>
        <w:gridCol w:w="584"/>
        <w:gridCol w:w="689"/>
        <w:gridCol w:w="689"/>
        <w:gridCol w:w="584"/>
        <w:gridCol w:w="689"/>
        <w:gridCol w:w="584"/>
        <w:gridCol w:w="584"/>
        <w:gridCol w:w="584"/>
        <w:gridCol w:w="689"/>
        <w:gridCol w:w="689"/>
      </w:tblGrid>
      <w:tr w:rsidTr="0008332B">
        <w:tblPrEx>
          <w:tblW w:w="0" w:type="auto"/>
          <w:tblLayout w:type="fixed"/>
          <w:tblLook w:val="04A0"/>
        </w:tblPrEx>
        <w:tc>
          <w:tcPr>
            <w:tcW w:w="2106" w:type="dxa"/>
          </w:tcPr>
          <w:p w:rsidR="002B368A" w:rsidP="0008332B">
            <w:pPr>
              <w:spacing w:line="288" w:lineRule="auto"/>
              <w:jc w:val="left"/>
              <w:rPr>
                <w:rFonts w:ascii="Times New Roman" w:hAnsi="Times New Roman"/>
              </w:rPr>
            </w:pPr>
            <w:r>
              <w:rPr>
                <w:rFonts w:ascii="Times New Roman" w:hAnsi="Times New Roman"/>
              </w:rPr>
              <w:t>细胞内的单价体数目</w:t>
            </w:r>
          </w:p>
        </w:tc>
        <w:tc>
          <w:tcPr>
            <w:tcW w:w="584" w:type="dxa"/>
          </w:tcPr>
          <w:p w:rsidR="002B368A" w:rsidP="0008332B">
            <w:pPr>
              <w:spacing w:line="288" w:lineRule="auto"/>
              <w:jc w:val="left"/>
              <w:rPr>
                <w:rFonts w:ascii="Times New Roman" w:hAnsi="Times New Roman"/>
              </w:rPr>
            </w:pPr>
            <w:r>
              <w:rPr>
                <w:rFonts w:ascii="Times New Roman" w:hAnsi="Times New Roman"/>
              </w:rPr>
              <w:t>1</w:t>
            </w:r>
          </w:p>
        </w:tc>
        <w:tc>
          <w:tcPr>
            <w:tcW w:w="584" w:type="dxa"/>
          </w:tcPr>
          <w:p w:rsidR="002B368A" w:rsidP="0008332B">
            <w:pPr>
              <w:spacing w:line="288" w:lineRule="auto"/>
              <w:jc w:val="left"/>
              <w:rPr>
                <w:rFonts w:ascii="Times New Roman" w:hAnsi="Times New Roman"/>
              </w:rPr>
            </w:pPr>
            <w:r>
              <w:rPr>
                <w:rFonts w:ascii="Times New Roman" w:hAnsi="Times New Roman"/>
              </w:rPr>
              <w:t>3</w:t>
            </w:r>
          </w:p>
        </w:tc>
        <w:tc>
          <w:tcPr>
            <w:tcW w:w="584" w:type="dxa"/>
          </w:tcPr>
          <w:p w:rsidR="002B368A" w:rsidP="0008332B">
            <w:pPr>
              <w:spacing w:line="288" w:lineRule="auto"/>
              <w:jc w:val="left"/>
              <w:rPr>
                <w:rFonts w:ascii="Times New Roman" w:hAnsi="Times New Roman"/>
              </w:rPr>
            </w:pPr>
            <w:r>
              <w:rPr>
                <w:rFonts w:ascii="Times New Roman" w:hAnsi="Times New Roman"/>
              </w:rPr>
              <w:t>4</w:t>
            </w:r>
          </w:p>
        </w:tc>
        <w:tc>
          <w:tcPr>
            <w:tcW w:w="689" w:type="dxa"/>
          </w:tcPr>
          <w:p w:rsidR="002B368A" w:rsidP="0008332B">
            <w:pPr>
              <w:spacing w:line="288" w:lineRule="auto"/>
              <w:jc w:val="left"/>
              <w:rPr>
                <w:rFonts w:ascii="Times New Roman" w:hAnsi="Times New Roman"/>
              </w:rPr>
            </w:pPr>
            <w:r>
              <w:rPr>
                <w:rFonts w:ascii="Times New Roman" w:hAnsi="Times New Roman"/>
              </w:rPr>
              <w:t>5</w:t>
            </w:r>
          </w:p>
        </w:tc>
        <w:tc>
          <w:tcPr>
            <w:tcW w:w="689" w:type="dxa"/>
          </w:tcPr>
          <w:p w:rsidR="002B368A" w:rsidP="0008332B">
            <w:pPr>
              <w:spacing w:line="288" w:lineRule="auto"/>
              <w:jc w:val="left"/>
              <w:rPr>
                <w:rFonts w:ascii="Times New Roman" w:hAnsi="Times New Roman"/>
              </w:rPr>
            </w:pPr>
            <w:r>
              <w:rPr>
                <w:rFonts w:ascii="Times New Roman" w:hAnsi="Times New Roman"/>
              </w:rPr>
              <w:t>7</w:t>
            </w:r>
          </w:p>
        </w:tc>
        <w:tc>
          <w:tcPr>
            <w:tcW w:w="584" w:type="dxa"/>
          </w:tcPr>
          <w:p w:rsidR="002B368A" w:rsidP="0008332B">
            <w:pPr>
              <w:spacing w:line="288" w:lineRule="auto"/>
              <w:jc w:val="left"/>
              <w:rPr>
                <w:rFonts w:ascii="Times New Roman" w:hAnsi="Times New Roman"/>
              </w:rPr>
            </w:pPr>
            <w:r>
              <w:rPr>
                <w:rFonts w:ascii="Times New Roman" w:hAnsi="Times New Roman"/>
              </w:rPr>
              <w:t>8</w:t>
            </w:r>
          </w:p>
        </w:tc>
        <w:tc>
          <w:tcPr>
            <w:tcW w:w="689" w:type="dxa"/>
          </w:tcPr>
          <w:p w:rsidR="002B368A" w:rsidP="0008332B">
            <w:pPr>
              <w:spacing w:line="288" w:lineRule="auto"/>
              <w:jc w:val="left"/>
              <w:rPr>
                <w:rFonts w:ascii="Times New Roman" w:hAnsi="Times New Roman"/>
              </w:rPr>
            </w:pPr>
            <w:r>
              <w:rPr>
                <w:rFonts w:ascii="Times New Roman" w:hAnsi="Times New Roman"/>
              </w:rPr>
              <w:t>9</w:t>
            </w:r>
          </w:p>
        </w:tc>
        <w:tc>
          <w:tcPr>
            <w:tcW w:w="584" w:type="dxa"/>
          </w:tcPr>
          <w:p w:rsidR="002B368A" w:rsidP="0008332B">
            <w:pPr>
              <w:spacing w:line="288" w:lineRule="auto"/>
              <w:jc w:val="left"/>
              <w:rPr>
                <w:rFonts w:ascii="Times New Roman" w:hAnsi="Times New Roman"/>
              </w:rPr>
            </w:pPr>
            <w:r>
              <w:rPr>
                <w:rFonts w:ascii="Times New Roman" w:hAnsi="Times New Roman"/>
              </w:rPr>
              <w:t>10</w:t>
            </w:r>
          </w:p>
        </w:tc>
        <w:tc>
          <w:tcPr>
            <w:tcW w:w="584" w:type="dxa"/>
          </w:tcPr>
          <w:p w:rsidR="002B368A" w:rsidP="0008332B">
            <w:pPr>
              <w:spacing w:line="288" w:lineRule="auto"/>
              <w:jc w:val="left"/>
              <w:rPr>
                <w:rFonts w:ascii="Times New Roman" w:hAnsi="Times New Roman"/>
              </w:rPr>
            </w:pPr>
            <w:r>
              <w:rPr>
                <w:rFonts w:ascii="Times New Roman" w:hAnsi="Times New Roman"/>
              </w:rPr>
              <w:t>11</w:t>
            </w:r>
          </w:p>
        </w:tc>
        <w:tc>
          <w:tcPr>
            <w:tcW w:w="584" w:type="dxa"/>
          </w:tcPr>
          <w:p w:rsidR="002B368A" w:rsidP="0008332B">
            <w:pPr>
              <w:spacing w:line="288" w:lineRule="auto"/>
              <w:jc w:val="left"/>
              <w:rPr>
                <w:rFonts w:ascii="Times New Roman" w:hAnsi="Times New Roman"/>
              </w:rPr>
            </w:pPr>
            <w:r>
              <w:rPr>
                <w:rFonts w:ascii="Times New Roman" w:hAnsi="Times New Roman"/>
              </w:rPr>
              <w:t>13</w:t>
            </w:r>
          </w:p>
        </w:tc>
        <w:tc>
          <w:tcPr>
            <w:tcW w:w="689" w:type="dxa"/>
          </w:tcPr>
          <w:p w:rsidR="002B368A" w:rsidP="0008332B">
            <w:pPr>
              <w:spacing w:line="288" w:lineRule="auto"/>
              <w:jc w:val="left"/>
              <w:rPr>
                <w:rFonts w:ascii="Times New Roman" w:hAnsi="Times New Roman"/>
              </w:rPr>
            </w:pPr>
            <w:r>
              <w:rPr>
                <w:rFonts w:ascii="Times New Roman" w:hAnsi="Times New Roman"/>
              </w:rPr>
              <w:t>15</w:t>
            </w:r>
          </w:p>
        </w:tc>
        <w:tc>
          <w:tcPr>
            <w:tcW w:w="689" w:type="dxa"/>
          </w:tcPr>
          <w:p w:rsidR="002B368A" w:rsidP="0008332B">
            <w:pPr>
              <w:spacing w:line="288" w:lineRule="auto"/>
              <w:jc w:val="left"/>
              <w:rPr>
                <w:rFonts w:ascii="Times New Roman" w:hAnsi="Times New Roman"/>
              </w:rPr>
            </w:pPr>
            <w:r>
              <w:rPr>
                <w:rFonts w:ascii="Times New Roman" w:hAnsi="Times New Roman"/>
              </w:rPr>
              <w:t>总计</w:t>
            </w:r>
          </w:p>
        </w:tc>
      </w:tr>
      <w:tr w:rsidTr="0008332B">
        <w:tblPrEx>
          <w:tblW w:w="0" w:type="auto"/>
          <w:tblLayout w:type="fixed"/>
          <w:tblLook w:val="04A0"/>
        </w:tblPrEx>
        <w:tc>
          <w:tcPr>
            <w:tcW w:w="2106" w:type="dxa"/>
          </w:tcPr>
          <w:p w:rsidR="002B368A" w:rsidP="0008332B">
            <w:pPr>
              <w:spacing w:line="288" w:lineRule="auto"/>
              <w:jc w:val="left"/>
              <w:rPr>
                <w:rFonts w:ascii="Times New Roman" w:hAnsi="Times New Roman"/>
              </w:rPr>
            </w:pPr>
            <w:r>
              <w:rPr>
                <w:rFonts w:ascii="Times New Roman" w:hAnsi="Times New Roman"/>
              </w:rPr>
              <w:t>细胞数</w:t>
            </w:r>
          </w:p>
        </w:tc>
        <w:tc>
          <w:tcPr>
            <w:tcW w:w="584" w:type="dxa"/>
          </w:tcPr>
          <w:p w:rsidR="002B368A" w:rsidP="0008332B">
            <w:pPr>
              <w:spacing w:line="288" w:lineRule="auto"/>
              <w:jc w:val="left"/>
              <w:rPr>
                <w:rFonts w:ascii="Times New Roman" w:hAnsi="Times New Roman"/>
              </w:rPr>
            </w:pPr>
            <w:r>
              <w:rPr>
                <w:rFonts w:ascii="Times New Roman" w:hAnsi="Times New Roman"/>
              </w:rPr>
              <w:t>2</w:t>
            </w:r>
          </w:p>
        </w:tc>
        <w:tc>
          <w:tcPr>
            <w:tcW w:w="584" w:type="dxa"/>
          </w:tcPr>
          <w:p w:rsidR="002B368A" w:rsidP="0008332B">
            <w:pPr>
              <w:spacing w:line="288" w:lineRule="auto"/>
              <w:jc w:val="left"/>
              <w:rPr>
                <w:rFonts w:ascii="Times New Roman" w:hAnsi="Times New Roman"/>
              </w:rPr>
            </w:pPr>
            <w:r>
              <w:rPr>
                <w:rFonts w:ascii="Times New Roman" w:hAnsi="Times New Roman"/>
              </w:rPr>
              <w:t>7</w:t>
            </w:r>
          </w:p>
        </w:tc>
        <w:tc>
          <w:tcPr>
            <w:tcW w:w="584" w:type="dxa"/>
          </w:tcPr>
          <w:p w:rsidR="002B368A" w:rsidP="0008332B">
            <w:pPr>
              <w:spacing w:line="288" w:lineRule="auto"/>
              <w:jc w:val="left"/>
              <w:rPr>
                <w:rFonts w:ascii="Times New Roman" w:hAnsi="Times New Roman"/>
              </w:rPr>
            </w:pPr>
            <w:r>
              <w:rPr>
                <w:rFonts w:ascii="Times New Roman" w:hAnsi="Times New Roman"/>
              </w:rPr>
              <w:t>2</w:t>
            </w:r>
          </w:p>
        </w:tc>
        <w:tc>
          <w:tcPr>
            <w:tcW w:w="689" w:type="dxa"/>
          </w:tcPr>
          <w:p w:rsidR="002B368A" w:rsidP="0008332B">
            <w:pPr>
              <w:spacing w:line="288" w:lineRule="auto"/>
              <w:jc w:val="left"/>
              <w:rPr>
                <w:rFonts w:ascii="Times New Roman" w:hAnsi="Times New Roman"/>
              </w:rPr>
            </w:pPr>
            <w:r>
              <w:rPr>
                <w:rFonts w:ascii="Times New Roman" w:hAnsi="Times New Roman"/>
              </w:rPr>
              <w:t>27</w:t>
            </w:r>
          </w:p>
        </w:tc>
        <w:tc>
          <w:tcPr>
            <w:tcW w:w="689" w:type="dxa"/>
          </w:tcPr>
          <w:p w:rsidR="002B368A" w:rsidP="0008332B">
            <w:pPr>
              <w:spacing w:line="288" w:lineRule="auto"/>
              <w:jc w:val="left"/>
              <w:rPr>
                <w:rFonts w:ascii="Times New Roman" w:hAnsi="Times New Roman"/>
              </w:rPr>
            </w:pPr>
            <w:r>
              <w:rPr>
                <w:rFonts w:ascii="Times New Roman" w:hAnsi="Times New Roman"/>
              </w:rPr>
              <w:t>28</w:t>
            </w:r>
          </w:p>
        </w:tc>
        <w:tc>
          <w:tcPr>
            <w:tcW w:w="584" w:type="dxa"/>
          </w:tcPr>
          <w:p w:rsidR="002B368A" w:rsidP="0008332B">
            <w:pPr>
              <w:spacing w:line="288" w:lineRule="auto"/>
              <w:jc w:val="left"/>
              <w:rPr>
                <w:rFonts w:ascii="Times New Roman" w:hAnsi="Times New Roman"/>
              </w:rPr>
            </w:pPr>
            <w:r>
              <w:rPr>
                <w:rFonts w:ascii="Times New Roman" w:hAnsi="Times New Roman"/>
              </w:rPr>
              <w:t>5</w:t>
            </w:r>
          </w:p>
        </w:tc>
        <w:tc>
          <w:tcPr>
            <w:tcW w:w="689" w:type="dxa"/>
          </w:tcPr>
          <w:p w:rsidR="002B368A" w:rsidP="0008332B">
            <w:pPr>
              <w:spacing w:line="288" w:lineRule="auto"/>
              <w:jc w:val="left"/>
              <w:rPr>
                <w:rFonts w:ascii="Times New Roman" w:hAnsi="Times New Roman"/>
              </w:rPr>
            </w:pPr>
            <w:r>
              <w:rPr>
                <w:rFonts w:ascii="Times New Roman" w:hAnsi="Times New Roman"/>
              </w:rPr>
              <w:t>15</w:t>
            </w:r>
          </w:p>
        </w:tc>
        <w:tc>
          <w:tcPr>
            <w:tcW w:w="584" w:type="dxa"/>
          </w:tcPr>
          <w:p w:rsidR="002B368A" w:rsidP="0008332B">
            <w:pPr>
              <w:spacing w:line="288" w:lineRule="auto"/>
              <w:jc w:val="left"/>
              <w:rPr>
                <w:rFonts w:ascii="Times New Roman" w:hAnsi="Times New Roman"/>
              </w:rPr>
            </w:pPr>
            <w:r>
              <w:rPr>
                <w:rFonts w:ascii="Times New Roman" w:hAnsi="Times New Roman"/>
              </w:rPr>
              <w:t>6</w:t>
            </w:r>
          </w:p>
        </w:tc>
        <w:tc>
          <w:tcPr>
            <w:tcW w:w="584" w:type="dxa"/>
          </w:tcPr>
          <w:p w:rsidR="002B368A" w:rsidP="0008332B">
            <w:pPr>
              <w:spacing w:line="288" w:lineRule="auto"/>
              <w:jc w:val="left"/>
              <w:rPr>
                <w:rFonts w:ascii="Times New Roman" w:hAnsi="Times New Roman"/>
              </w:rPr>
            </w:pPr>
            <w:r>
              <w:rPr>
                <w:rFonts w:ascii="Times New Roman" w:hAnsi="Times New Roman"/>
              </w:rPr>
              <w:t>8</w:t>
            </w:r>
          </w:p>
        </w:tc>
        <w:tc>
          <w:tcPr>
            <w:tcW w:w="584" w:type="dxa"/>
          </w:tcPr>
          <w:p w:rsidR="002B368A" w:rsidP="0008332B">
            <w:pPr>
              <w:spacing w:line="288" w:lineRule="auto"/>
              <w:jc w:val="left"/>
              <w:rPr>
                <w:rFonts w:ascii="Times New Roman" w:hAnsi="Times New Roman"/>
              </w:rPr>
            </w:pPr>
            <w:r>
              <w:rPr>
                <w:rFonts w:ascii="Times New Roman" w:hAnsi="Times New Roman"/>
              </w:rPr>
              <w:t>4</w:t>
            </w:r>
          </w:p>
        </w:tc>
        <w:tc>
          <w:tcPr>
            <w:tcW w:w="689" w:type="dxa"/>
          </w:tcPr>
          <w:p w:rsidR="002B368A" w:rsidP="0008332B">
            <w:pPr>
              <w:spacing w:line="288" w:lineRule="auto"/>
              <w:jc w:val="left"/>
              <w:rPr>
                <w:rFonts w:ascii="Times New Roman" w:hAnsi="Times New Roman"/>
              </w:rPr>
            </w:pPr>
            <w:r>
              <w:rPr>
                <w:rFonts w:ascii="Times New Roman" w:hAnsi="Times New Roman"/>
              </w:rPr>
              <w:t>12</w:t>
            </w:r>
          </w:p>
        </w:tc>
        <w:tc>
          <w:tcPr>
            <w:tcW w:w="689" w:type="dxa"/>
          </w:tcPr>
          <w:p w:rsidR="002B368A" w:rsidP="0008332B">
            <w:pPr>
              <w:spacing w:line="288" w:lineRule="auto"/>
              <w:jc w:val="left"/>
              <w:rPr>
                <w:rFonts w:ascii="Times New Roman" w:hAnsi="Times New Roman"/>
              </w:rPr>
            </w:pPr>
            <w:r>
              <w:rPr>
                <w:rFonts w:ascii="Times New Roman" w:hAnsi="Times New Roman"/>
              </w:rPr>
              <w:t>116</w:t>
            </w:r>
          </w:p>
        </w:tc>
      </w:tr>
      <w:tr w:rsidTr="0008332B">
        <w:tblPrEx>
          <w:tblW w:w="0" w:type="auto"/>
          <w:tblLayout w:type="fixed"/>
          <w:tblLook w:val="04A0"/>
        </w:tblPrEx>
        <w:tc>
          <w:tcPr>
            <w:tcW w:w="2106" w:type="dxa"/>
          </w:tcPr>
          <w:p w:rsidR="002B368A" w:rsidP="0008332B">
            <w:pPr>
              <w:spacing w:line="288" w:lineRule="auto"/>
              <w:jc w:val="left"/>
              <w:rPr>
                <w:rFonts w:ascii="Times New Roman" w:hAnsi="Times New Roman"/>
              </w:rPr>
            </w:pPr>
            <w:r>
              <w:rPr>
                <w:rFonts w:ascii="Times New Roman" w:hAnsi="Times New Roman"/>
              </w:rPr>
              <w:t>比例</w:t>
            </w:r>
            <w:r>
              <w:rPr>
                <w:rFonts w:ascii="Times New Roman" w:hAnsi="Times New Roman"/>
              </w:rPr>
              <w:t>/%</w:t>
            </w:r>
          </w:p>
        </w:tc>
        <w:tc>
          <w:tcPr>
            <w:tcW w:w="584" w:type="dxa"/>
          </w:tcPr>
          <w:p w:rsidR="002B368A" w:rsidP="0008332B">
            <w:pPr>
              <w:spacing w:line="288" w:lineRule="auto"/>
              <w:jc w:val="left"/>
              <w:rPr>
                <w:rFonts w:ascii="Times New Roman" w:hAnsi="Times New Roman"/>
              </w:rPr>
            </w:pPr>
            <w:r>
              <w:rPr>
                <w:rFonts w:ascii="Times New Roman" w:hAnsi="Times New Roman"/>
              </w:rPr>
              <w:t>1.72</w:t>
            </w:r>
          </w:p>
        </w:tc>
        <w:tc>
          <w:tcPr>
            <w:tcW w:w="584" w:type="dxa"/>
          </w:tcPr>
          <w:p w:rsidR="002B368A" w:rsidP="0008332B">
            <w:pPr>
              <w:spacing w:line="288" w:lineRule="auto"/>
              <w:jc w:val="left"/>
              <w:rPr>
                <w:rFonts w:ascii="Times New Roman" w:hAnsi="Times New Roman"/>
              </w:rPr>
            </w:pPr>
            <w:r>
              <w:rPr>
                <w:rFonts w:ascii="Times New Roman" w:hAnsi="Times New Roman"/>
              </w:rPr>
              <w:t>6.03</w:t>
            </w:r>
          </w:p>
        </w:tc>
        <w:tc>
          <w:tcPr>
            <w:tcW w:w="584" w:type="dxa"/>
          </w:tcPr>
          <w:p w:rsidR="002B368A" w:rsidP="0008332B">
            <w:pPr>
              <w:spacing w:line="288" w:lineRule="auto"/>
              <w:jc w:val="left"/>
              <w:rPr>
                <w:rFonts w:ascii="Times New Roman" w:hAnsi="Times New Roman"/>
              </w:rPr>
            </w:pPr>
            <w:r>
              <w:rPr>
                <w:rFonts w:ascii="Times New Roman" w:hAnsi="Times New Roman"/>
              </w:rPr>
              <w:t>1.72</w:t>
            </w:r>
          </w:p>
        </w:tc>
        <w:tc>
          <w:tcPr>
            <w:tcW w:w="689" w:type="dxa"/>
          </w:tcPr>
          <w:p w:rsidR="002B368A" w:rsidP="0008332B">
            <w:pPr>
              <w:spacing w:line="288" w:lineRule="auto"/>
              <w:jc w:val="left"/>
              <w:rPr>
                <w:rFonts w:ascii="Times New Roman" w:hAnsi="Times New Roman"/>
              </w:rPr>
            </w:pPr>
            <w:r>
              <w:rPr>
                <w:rFonts w:ascii="Times New Roman" w:hAnsi="Times New Roman"/>
              </w:rPr>
              <w:t>23.28</w:t>
            </w:r>
          </w:p>
        </w:tc>
        <w:tc>
          <w:tcPr>
            <w:tcW w:w="689" w:type="dxa"/>
          </w:tcPr>
          <w:p w:rsidR="002B368A" w:rsidP="0008332B">
            <w:pPr>
              <w:spacing w:line="288" w:lineRule="auto"/>
              <w:jc w:val="left"/>
              <w:rPr>
                <w:rFonts w:ascii="Times New Roman" w:hAnsi="Times New Roman"/>
              </w:rPr>
            </w:pPr>
            <w:r>
              <w:rPr>
                <w:rFonts w:ascii="Times New Roman" w:hAnsi="Times New Roman"/>
              </w:rPr>
              <w:t>24.14</w:t>
            </w:r>
          </w:p>
        </w:tc>
        <w:tc>
          <w:tcPr>
            <w:tcW w:w="584" w:type="dxa"/>
          </w:tcPr>
          <w:p w:rsidR="002B368A" w:rsidP="0008332B">
            <w:pPr>
              <w:spacing w:line="288" w:lineRule="auto"/>
              <w:jc w:val="left"/>
              <w:rPr>
                <w:rFonts w:ascii="Times New Roman" w:hAnsi="Times New Roman"/>
              </w:rPr>
            </w:pPr>
            <w:r>
              <w:rPr>
                <w:rFonts w:ascii="Times New Roman" w:hAnsi="Times New Roman"/>
              </w:rPr>
              <w:t>4.31</w:t>
            </w:r>
          </w:p>
        </w:tc>
        <w:tc>
          <w:tcPr>
            <w:tcW w:w="689" w:type="dxa"/>
          </w:tcPr>
          <w:p w:rsidR="002B368A" w:rsidP="0008332B">
            <w:pPr>
              <w:spacing w:line="288" w:lineRule="auto"/>
              <w:jc w:val="left"/>
              <w:rPr>
                <w:rFonts w:ascii="Times New Roman" w:hAnsi="Times New Roman"/>
              </w:rPr>
            </w:pPr>
            <w:r>
              <w:rPr>
                <w:rFonts w:ascii="Times New Roman" w:hAnsi="Times New Roman"/>
              </w:rPr>
              <w:t>12.93</w:t>
            </w:r>
          </w:p>
        </w:tc>
        <w:tc>
          <w:tcPr>
            <w:tcW w:w="584" w:type="dxa"/>
          </w:tcPr>
          <w:p w:rsidR="002B368A" w:rsidP="0008332B">
            <w:pPr>
              <w:spacing w:line="288" w:lineRule="auto"/>
              <w:jc w:val="left"/>
              <w:rPr>
                <w:rFonts w:ascii="Times New Roman" w:hAnsi="Times New Roman"/>
              </w:rPr>
            </w:pPr>
            <w:r>
              <w:rPr>
                <w:rFonts w:ascii="Times New Roman" w:hAnsi="Times New Roman"/>
              </w:rPr>
              <w:t>5.17</w:t>
            </w:r>
          </w:p>
        </w:tc>
        <w:tc>
          <w:tcPr>
            <w:tcW w:w="584" w:type="dxa"/>
          </w:tcPr>
          <w:p w:rsidR="002B368A" w:rsidP="0008332B">
            <w:pPr>
              <w:spacing w:line="288" w:lineRule="auto"/>
              <w:jc w:val="left"/>
              <w:rPr>
                <w:rFonts w:ascii="Times New Roman" w:hAnsi="Times New Roman"/>
              </w:rPr>
            </w:pPr>
            <w:r>
              <w:rPr>
                <w:rFonts w:ascii="Times New Roman" w:hAnsi="Times New Roman"/>
              </w:rPr>
              <w:t>6.90</w:t>
            </w:r>
          </w:p>
        </w:tc>
        <w:tc>
          <w:tcPr>
            <w:tcW w:w="584" w:type="dxa"/>
          </w:tcPr>
          <w:p w:rsidR="002B368A" w:rsidP="0008332B">
            <w:pPr>
              <w:spacing w:line="288" w:lineRule="auto"/>
              <w:jc w:val="left"/>
              <w:rPr>
                <w:rFonts w:ascii="Times New Roman" w:hAnsi="Times New Roman"/>
              </w:rPr>
            </w:pPr>
            <w:r>
              <w:rPr>
                <w:rFonts w:ascii="Times New Roman" w:hAnsi="Times New Roman"/>
              </w:rPr>
              <w:t>3.45</w:t>
            </w:r>
          </w:p>
        </w:tc>
        <w:tc>
          <w:tcPr>
            <w:tcW w:w="689" w:type="dxa"/>
          </w:tcPr>
          <w:p w:rsidR="002B368A" w:rsidP="0008332B">
            <w:pPr>
              <w:spacing w:line="288" w:lineRule="auto"/>
              <w:jc w:val="left"/>
              <w:rPr>
                <w:rFonts w:ascii="Times New Roman" w:hAnsi="Times New Roman"/>
              </w:rPr>
            </w:pPr>
            <w:r>
              <w:rPr>
                <w:rFonts w:ascii="Times New Roman" w:hAnsi="Times New Roman"/>
              </w:rPr>
              <w:t>10.34</w:t>
            </w:r>
          </w:p>
        </w:tc>
        <w:tc>
          <w:tcPr>
            <w:tcW w:w="689" w:type="dxa"/>
          </w:tcPr>
          <w:p w:rsidR="002B368A" w:rsidP="0008332B">
            <w:pPr>
              <w:spacing w:line="288" w:lineRule="auto"/>
              <w:jc w:val="left"/>
              <w:rPr>
                <w:rFonts w:ascii="Times New Roman" w:hAnsi="Times New Roman"/>
              </w:rPr>
            </w:pPr>
            <w:r>
              <w:rPr>
                <w:rFonts w:ascii="Times New Roman" w:hAnsi="Times New Roman"/>
              </w:rPr>
              <w:t>99.99</w:t>
            </w:r>
          </w:p>
        </w:tc>
      </w:tr>
    </w:tbl>
    <w:p w:rsidR="002B368A" w:rsidP="002B368A">
      <w:pPr>
        <w:spacing w:line="288" w:lineRule="auto"/>
        <w:jc w:val="left"/>
        <w:rPr>
          <w:rFonts w:ascii="Times New Roman" w:hAnsi="Times New Roman"/>
        </w:rPr>
      </w:pPr>
      <w:r>
        <w:rPr>
          <w:rFonts w:ascii="Times New Roman" w:hAnsi="Times New Roman"/>
        </w:rPr>
        <w:t>分析统计数据可知，伊藤杂种高度不育的原因是</w:t>
      </w:r>
      <w:r>
        <w:rPr>
          <w:rFonts w:ascii="Times New Roman" w:hAnsi="Times New Roman"/>
        </w:rPr>
        <w:t>______</w:t>
      </w:r>
      <w:r>
        <w:rPr>
          <w:rFonts w:ascii="Times New Roman" w:hAnsi="Times New Roman"/>
        </w:rPr>
        <w:t>。为使伊藤杂种可育，提出一种合理的措施：</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22</w:t>
      </w:r>
      <w:r>
        <w:rPr>
          <w:rFonts w:ascii="Times New Roman" w:hAnsi="Times New Roman"/>
        </w:rPr>
        <w:t>．（</w:t>
      </w:r>
      <w:r>
        <w:rPr>
          <w:rFonts w:ascii="Times New Roman" w:hAnsi="Times New Roman"/>
        </w:rPr>
        <w:t>12</w:t>
      </w:r>
      <w:r>
        <w:rPr>
          <w:rFonts w:ascii="Times New Roman" w:hAnsi="Times New Roman"/>
        </w:rPr>
        <w:t>分）研究人员用</w:t>
      </w:r>
      <w:r>
        <w:rPr>
          <w:rFonts w:ascii="Times New Roman" w:hAnsi="Times New Roman"/>
          <w:vertAlign w:val="superscript"/>
        </w:rPr>
        <w:t>60</w:t>
      </w:r>
      <w:r>
        <w:rPr>
          <w:rFonts w:ascii="Times New Roman" w:hAnsi="Times New Roman"/>
        </w:rPr>
        <w:t>Co</w:t>
      </w:r>
      <w:r>
        <w:rPr>
          <w:rFonts w:ascii="Times New Roman" w:hAnsi="Times New Roman"/>
        </w:rPr>
        <w:t>辐射处理野生型水稻（</w:t>
      </w:r>
      <w:r>
        <w:rPr>
          <w:rFonts w:ascii="Times New Roman" w:hAnsi="Times New Roman"/>
        </w:rPr>
        <w:t>WT</w:t>
      </w:r>
      <w:r>
        <w:rPr>
          <w:rFonts w:ascii="Times New Roman" w:hAnsi="Times New Roman"/>
        </w:rPr>
        <w:t>），从子代植株中分离出一株无花粉型雄性不育突变体</w:t>
      </w:r>
      <w:r>
        <w:rPr>
          <w:rFonts w:ascii="Times New Roman" w:hAnsi="Times New Roman"/>
        </w:rPr>
        <w:t>gamyb5</w:t>
      </w:r>
      <w:r>
        <w:rPr>
          <w:rFonts w:ascii="Times New Roman" w:hAnsi="Times New Roman"/>
        </w:rPr>
        <w:t>。</w:t>
      </w:r>
      <w:r>
        <w:rPr>
          <w:rFonts w:ascii="Times New Roman" w:hAnsi="Times New Roman"/>
        </w:rPr>
        <w:t>gamyb5</w:t>
      </w:r>
      <w:r>
        <w:rPr>
          <w:rFonts w:ascii="Times New Roman" w:hAnsi="Times New Roman"/>
        </w:rPr>
        <w:t>与</w:t>
      </w:r>
      <w:r>
        <w:rPr>
          <w:rFonts w:ascii="Times New Roman" w:hAnsi="Times New Roman"/>
        </w:rPr>
        <w:t>WT</w:t>
      </w:r>
      <w:r>
        <w:rPr>
          <w:rFonts w:ascii="Times New Roman" w:hAnsi="Times New Roman"/>
        </w:rPr>
        <w:t>杂交，</w:t>
      </w:r>
      <w:r>
        <w:rPr>
          <w:rFonts w:ascii="Times New Roman" w:hAnsi="Times New Roman"/>
        </w:rPr>
        <w:t>F</w:t>
      </w:r>
      <w:r>
        <w:rPr>
          <w:rFonts w:ascii="Times New Roman" w:hAnsi="Times New Roman"/>
          <w:vertAlign w:val="subscript"/>
        </w:rPr>
        <w:t>1</w:t>
      </w:r>
      <w:r>
        <w:rPr>
          <w:rFonts w:ascii="Times New Roman" w:hAnsi="Times New Roman"/>
        </w:rPr>
        <w:t>的花粉育性正常。</w:t>
      </w:r>
      <w:r>
        <w:rPr>
          <w:rFonts w:ascii="Times New Roman" w:hAnsi="Times New Roman"/>
        </w:rPr>
        <w:t>F</w:t>
      </w:r>
      <w:r>
        <w:rPr>
          <w:rFonts w:ascii="Times New Roman" w:hAnsi="Times New Roman"/>
          <w:vertAlign w:val="subscript"/>
        </w:rPr>
        <w:t>1</w:t>
      </w:r>
      <w:r>
        <w:rPr>
          <w:rFonts w:ascii="Times New Roman" w:hAnsi="Times New Roman"/>
        </w:rPr>
        <w:t>自交，</w:t>
      </w:r>
      <w:r>
        <w:rPr>
          <w:rFonts w:ascii="Times New Roman" w:hAnsi="Times New Roman"/>
        </w:rPr>
        <w:t>F</w:t>
      </w:r>
      <w:r>
        <w:rPr>
          <w:rFonts w:ascii="Times New Roman" w:hAnsi="Times New Roman"/>
          <w:vertAlign w:val="subscript"/>
        </w:rPr>
        <w:t>2</w:t>
      </w:r>
      <w:r>
        <w:rPr>
          <w:rFonts w:ascii="Times New Roman" w:hAnsi="Times New Roman"/>
        </w:rPr>
        <w:t>的植株中无花粉型雄性不育植株约占</w:t>
      </w:r>
      <w:r>
        <w:rPr>
          <w:rFonts w:ascii="Times New Roman" w:hAnsi="Times New Roman"/>
        </w:rPr>
        <w:t>1/4</w:t>
      </w:r>
      <w:r>
        <w:rPr>
          <w:rFonts w:ascii="Times New Roman" w:hAnsi="Times New Roman"/>
        </w:rPr>
        <w:t>。回答下列问题：</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）在杂交育种中，</w:t>
      </w:r>
      <w:r>
        <w:rPr>
          <w:rFonts w:ascii="Times New Roman" w:hAnsi="Times New Roman"/>
        </w:rPr>
        <w:t>gamyb5</w:t>
      </w:r>
      <w:r>
        <w:rPr>
          <w:rFonts w:ascii="Times New Roman" w:hAnsi="Times New Roman"/>
        </w:rPr>
        <w:t>有一定的育种优势，体现在</w:t>
      </w:r>
      <w:r>
        <w:rPr>
          <w:rFonts w:ascii="Times New Roman" w:hAnsi="Times New Roman"/>
        </w:rPr>
        <w:t>______</w:t>
      </w:r>
      <w:r>
        <w:rPr>
          <w:rFonts w:ascii="Times New Roman" w:hAnsi="Times New Roman"/>
        </w:rPr>
        <w:t>。无花粉型雄性不育性状是由</w:t>
      </w:r>
      <w:r>
        <w:rPr>
          <w:rFonts w:ascii="Times New Roman" w:hAnsi="Times New Roman"/>
        </w:rPr>
        <w:t>______</w:t>
      </w:r>
      <w:r>
        <w:rPr>
          <w:rFonts w:ascii="Times New Roman" w:hAnsi="Times New Roman"/>
        </w:rPr>
        <w:t>（填</w:t>
      </w:r>
      <w:r>
        <w:rPr>
          <w:rFonts w:ascii="Times New Roman" w:hAnsi="Times New Roman"/>
        </w:rPr>
        <w:t>“</w:t>
      </w:r>
      <w:r>
        <w:rPr>
          <w:rFonts w:ascii="Times New Roman" w:hAnsi="Times New Roman"/>
        </w:rPr>
        <w:t>显性</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隐性</w:t>
      </w:r>
      <w:r>
        <w:rPr>
          <w:rFonts w:ascii="Times New Roman" w:hAnsi="Times New Roman"/>
        </w:rPr>
        <w:t>”</w:t>
      </w:r>
      <w:r>
        <w:rPr>
          <w:rFonts w:ascii="Times New Roman" w:hAnsi="Times New Roman"/>
        </w:rPr>
        <w:t>）基因控制的。用</w:t>
      </w:r>
      <w:r>
        <w:rPr>
          <w:rFonts w:ascii="Times New Roman" w:hAnsi="Times New Roman"/>
          <w:vertAlign w:val="superscript"/>
        </w:rPr>
        <w:t>60</w:t>
      </w:r>
      <w:r>
        <w:rPr>
          <w:rFonts w:ascii="Times New Roman" w:hAnsi="Times New Roman"/>
        </w:rPr>
        <w:t>Co</w:t>
      </w:r>
      <w:r>
        <w:rPr>
          <w:rFonts w:ascii="Times New Roman" w:hAnsi="Times New Roman"/>
        </w:rPr>
        <w:t>辐射处理后，得到的优良突变性状极少，原因是</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）已知</w:t>
      </w:r>
      <w:r>
        <w:rPr>
          <w:rFonts w:ascii="Times New Roman" w:hAnsi="Times New Roman"/>
        </w:rPr>
        <w:t>GAMYB</w:t>
      </w:r>
      <w:r>
        <w:rPr>
          <w:rFonts w:ascii="Times New Roman" w:hAnsi="Times New Roman"/>
        </w:rPr>
        <w:t>基因能调控植物开花和影响花药发育。研究人员对</w:t>
      </w:r>
      <w:r>
        <w:rPr>
          <w:rFonts w:ascii="Times New Roman" w:hAnsi="Times New Roman"/>
        </w:rPr>
        <w:t>gamyb5</w:t>
      </w:r>
      <w:r>
        <w:rPr>
          <w:rFonts w:ascii="Times New Roman" w:hAnsi="Times New Roman"/>
        </w:rPr>
        <w:t>和</w:t>
      </w:r>
      <w:r>
        <w:rPr>
          <w:rFonts w:ascii="Times New Roman" w:hAnsi="Times New Roman"/>
        </w:rPr>
        <w:t>WT</w:t>
      </w:r>
      <w:r>
        <w:rPr>
          <w:rFonts w:ascii="Times New Roman" w:hAnsi="Times New Roman"/>
        </w:rPr>
        <w:t>的</w:t>
      </w:r>
      <w:r>
        <w:rPr>
          <w:rFonts w:ascii="Times New Roman" w:hAnsi="Times New Roman"/>
        </w:rPr>
        <w:t>GAMYB</w:t>
      </w:r>
      <w:r>
        <w:rPr>
          <w:rFonts w:ascii="Times New Roman" w:hAnsi="Times New Roman"/>
        </w:rPr>
        <w:t>基因进行测序，发现二者</w:t>
      </w:r>
      <w:r>
        <w:rPr>
          <w:rFonts w:ascii="Times New Roman" w:hAnsi="Times New Roman"/>
        </w:rPr>
        <w:t>GAMYB</w:t>
      </w:r>
      <w:r>
        <w:rPr>
          <w:rFonts w:ascii="Times New Roman" w:hAnsi="Times New Roman"/>
        </w:rPr>
        <w:t>基因的非</w:t>
      </w:r>
      <w:r>
        <w:rPr>
          <w:rFonts w:ascii="Times New Roman" w:hAnsi="Times New Roman"/>
        </w:rPr>
        <w:t>转录链某一</w:t>
      </w:r>
      <w:r>
        <w:rPr>
          <w:rFonts w:ascii="Times New Roman" w:hAnsi="Times New Roman"/>
        </w:rPr>
        <w:t>位点的碱基发生替换，如图甲所示。推测</w:t>
      </w:r>
      <w:r>
        <w:rPr>
          <w:rFonts w:ascii="Times New Roman" w:hAnsi="Times New Roman"/>
        </w:rPr>
        <w:t>GAMYB</w:t>
      </w:r>
      <w:r>
        <w:rPr>
          <w:rFonts w:ascii="Times New Roman" w:hAnsi="Times New Roman"/>
        </w:rPr>
        <w:t>基因突变后，</w:t>
      </w:r>
      <w:r>
        <w:rPr>
          <w:rFonts w:ascii="Times New Roman" w:hAnsi="Times New Roman"/>
        </w:rPr>
        <w:t>______</w:t>
      </w:r>
      <w:r>
        <w:rPr>
          <w:rFonts w:ascii="Times New Roman" w:hAnsi="Times New Roman"/>
        </w:rPr>
        <w:t>，导致合成的</w:t>
      </w:r>
      <w:r>
        <w:rPr>
          <w:rFonts w:ascii="Times New Roman" w:hAnsi="Times New Roman"/>
        </w:rPr>
        <w:t>GAMYB</w:t>
      </w:r>
      <w:r>
        <w:rPr>
          <w:rFonts w:ascii="Times New Roman" w:hAnsi="Times New Roman"/>
        </w:rPr>
        <w:t>蛋白的结构和功能异常。</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2453640" cy="1177290"/>
            <wp:effectExtent l="0" t="0" r="381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xmlns:r="http://schemas.openxmlformats.org/officeDocument/2006/relationships" r:embed="rId19"/>
                    <a:stretch>
                      <a:fillRect/>
                    </a:stretch>
                  </pic:blipFill>
                  <pic:spPr>
                    <a:xfrm>
                      <a:off x="0" y="0"/>
                      <a:ext cx="2463275" cy="1182011"/>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注：</w:t>
      </w:r>
      <w:r>
        <w:rPr>
          <w:rFonts w:ascii="Times New Roman" w:hAnsi="Times New Roman"/>
        </w:rPr>
        <w:t>CCC</w:t>
      </w:r>
      <w:r>
        <w:rPr>
          <w:rFonts w:ascii="Times New Roman" w:hAnsi="Times New Roman"/>
        </w:rPr>
        <w:t>、</w:t>
      </w:r>
      <w:r>
        <w:rPr>
          <w:rFonts w:ascii="Times New Roman" w:hAnsi="Times New Roman"/>
        </w:rPr>
        <w:t>ATC</w:t>
      </w:r>
      <w:r>
        <w:rPr>
          <w:rFonts w:ascii="Times New Roman" w:hAnsi="Times New Roman"/>
        </w:rPr>
        <w:t>、</w:t>
      </w:r>
      <w:r>
        <w:rPr>
          <w:rFonts w:ascii="Times New Roman" w:hAnsi="Times New Roman"/>
        </w:rPr>
        <w:t>TAT</w:t>
      </w:r>
      <w:r>
        <w:rPr>
          <w:rFonts w:ascii="Times New Roman" w:hAnsi="Times New Roman"/>
        </w:rPr>
        <w:t>、</w:t>
      </w:r>
      <w:r>
        <w:rPr>
          <w:rFonts w:ascii="Times New Roman" w:hAnsi="Times New Roman"/>
        </w:rPr>
        <w:t>CCT</w:t>
      </w:r>
      <w:r>
        <w:rPr>
          <w:rFonts w:ascii="Times New Roman" w:hAnsi="Times New Roman"/>
        </w:rPr>
        <w:t>各编码一个氨基酸。终止密码子为</w:t>
      </w:r>
      <w:r>
        <w:rPr>
          <w:rFonts w:ascii="Times New Roman" w:hAnsi="Times New Roman"/>
        </w:rPr>
        <w:t>UAA</w:t>
      </w:r>
      <w:r>
        <w:rPr>
          <w:rFonts w:ascii="Times New Roman" w:hAnsi="Times New Roman"/>
        </w:rPr>
        <w:t>、</w:t>
      </w:r>
      <w:r>
        <w:rPr>
          <w:rFonts w:ascii="Times New Roman" w:hAnsi="Times New Roman"/>
        </w:rPr>
        <w:t>UAG</w:t>
      </w:r>
      <w:r>
        <w:rPr>
          <w:rFonts w:ascii="Times New Roman" w:hAnsi="Times New Roman"/>
        </w:rPr>
        <w:t>、</w:t>
      </w:r>
      <w:r>
        <w:rPr>
          <w:rFonts w:ascii="Times New Roman" w:hAnsi="Times New Roman"/>
        </w:rPr>
        <w:t>UGA</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GAMYB</w:t>
      </w:r>
      <w:r>
        <w:rPr>
          <w:rFonts w:ascii="Times New Roman" w:hAnsi="Times New Roman"/>
        </w:rPr>
        <w:t>蛋白是一种转录调控因子。</w:t>
      </w:r>
      <w:r>
        <w:rPr>
          <w:rFonts w:ascii="Times New Roman" w:hAnsi="Times New Roman"/>
        </w:rPr>
        <w:t>UDT1</w:t>
      </w:r>
      <w:r>
        <w:rPr>
          <w:rFonts w:ascii="Times New Roman" w:hAnsi="Times New Roman"/>
        </w:rPr>
        <w:t>、</w:t>
      </w:r>
      <w:r>
        <w:rPr>
          <w:rFonts w:ascii="Times New Roman" w:hAnsi="Times New Roman"/>
        </w:rPr>
        <w:t>TDR</w:t>
      </w:r>
      <w:r>
        <w:rPr>
          <w:rFonts w:ascii="Times New Roman" w:hAnsi="Times New Roman"/>
        </w:rPr>
        <w:t>基因均能促进花药发育，其在减数分裂的早期大量表达。研究人员提取</w:t>
      </w:r>
      <w:r>
        <w:rPr>
          <w:rFonts w:ascii="Times New Roman" w:hAnsi="Times New Roman"/>
        </w:rPr>
        <w:t>WT</w:t>
      </w:r>
      <w:r>
        <w:rPr>
          <w:rFonts w:ascii="Times New Roman" w:hAnsi="Times New Roman"/>
        </w:rPr>
        <w:t>和</w:t>
      </w:r>
      <w:r>
        <w:rPr>
          <w:rFonts w:ascii="Times New Roman" w:hAnsi="Times New Roman"/>
        </w:rPr>
        <w:t>gamyb5</w:t>
      </w:r>
      <w:r>
        <w:rPr>
          <w:rFonts w:ascii="Times New Roman" w:hAnsi="Times New Roman"/>
        </w:rPr>
        <w:t>的</w:t>
      </w:r>
      <w:r>
        <w:rPr>
          <w:rFonts w:ascii="Times New Roman" w:hAnsi="Times New Roman"/>
        </w:rPr>
        <w:t>mRNA</w:t>
      </w:r>
      <w:r>
        <w:rPr>
          <w:rFonts w:ascii="Times New Roman" w:hAnsi="Times New Roman"/>
        </w:rPr>
        <w:t>，经过</w:t>
      </w:r>
      <w:r>
        <w:rPr>
          <w:rFonts w:ascii="Times New Roman" w:hAnsi="Times New Roman"/>
        </w:rPr>
        <w:t>______</w:t>
      </w:r>
      <w:r>
        <w:rPr>
          <w:rFonts w:ascii="Times New Roman" w:hAnsi="Times New Roman"/>
        </w:rPr>
        <w:t>和</w:t>
      </w:r>
      <w:r>
        <w:rPr>
          <w:rFonts w:ascii="Times New Roman" w:hAnsi="Times New Roman"/>
        </w:rPr>
        <w:t>PCR</w:t>
      </w:r>
      <w:r>
        <w:rPr>
          <w:rFonts w:ascii="Times New Roman" w:hAnsi="Times New Roman"/>
        </w:rPr>
        <w:t>扩增后，检测三种基因的表达量，结果如图乙所示。</w:t>
      </w:r>
    </w:p>
    <w:p w:rsidR="002B368A" w:rsidP="002B368A">
      <w:pPr>
        <w:spacing w:line="288" w:lineRule="auto"/>
        <w:jc w:val="left"/>
        <w:rPr>
          <w:rFonts w:ascii="Times New Roman" w:hAnsi="Times New Roman"/>
        </w:rPr>
      </w:pPr>
      <w:r>
        <w:rPr>
          <w:rFonts w:ascii="Times New Roman" w:hAnsi="Times New Roman"/>
          <w:noProof/>
        </w:rPr>
        <w:drawing>
          <wp:inline distT="0" distB="0" distL="0" distR="0">
            <wp:extent cx="4366260" cy="1325245"/>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xmlns:r="http://schemas.openxmlformats.org/officeDocument/2006/relationships" r:embed="rId20"/>
                    <a:stretch>
                      <a:fillRect/>
                    </a:stretch>
                  </pic:blipFill>
                  <pic:spPr>
                    <a:xfrm>
                      <a:off x="0" y="0"/>
                      <a:ext cx="4379037" cy="1329499"/>
                    </a:xfrm>
                    <a:prstGeom prst="rect">
                      <a:avLst/>
                    </a:prstGeom>
                  </pic:spPr>
                </pic:pic>
              </a:graphicData>
            </a:graphic>
          </wp:inline>
        </w:drawing>
      </w:r>
    </w:p>
    <w:p w:rsidR="002B368A" w:rsidP="002B368A">
      <w:pPr>
        <w:spacing w:line="288" w:lineRule="auto"/>
        <w:jc w:val="left"/>
        <w:rPr>
          <w:rFonts w:ascii="Times New Roman" w:hAnsi="Times New Roman"/>
        </w:rPr>
      </w:pPr>
      <w:r>
        <w:rPr>
          <w:rFonts w:ascii="Times New Roman" w:hAnsi="Times New Roman"/>
        </w:rPr>
        <w:t>分析以上信息可知，</w:t>
      </w:r>
      <w:r>
        <w:rPr>
          <w:rFonts w:ascii="Times New Roman" w:hAnsi="Times New Roman"/>
        </w:rPr>
        <w:t>gamyb5</w:t>
      </w:r>
      <w:r>
        <w:rPr>
          <w:rFonts w:ascii="Times New Roman" w:hAnsi="Times New Roman"/>
        </w:rPr>
        <w:t>花粉不育的机理可能是</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23</w:t>
      </w:r>
      <w:r>
        <w:rPr>
          <w:rFonts w:ascii="Times New Roman" w:hAnsi="Times New Roman"/>
        </w:rPr>
        <w:t>．（</w:t>
      </w:r>
      <w:r>
        <w:rPr>
          <w:rFonts w:ascii="Times New Roman" w:hAnsi="Times New Roman"/>
        </w:rPr>
        <w:t>11</w:t>
      </w:r>
      <w:r>
        <w:rPr>
          <w:rFonts w:ascii="Times New Roman" w:hAnsi="Times New Roman"/>
        </w:rPr>
        <w:t>分）褐飞虱是水稻主要的害虫之一，严重影响水稻产量。研究人员获得了多个纯合的褐飞虱抗性水稻品种，以</w:t>
      </w:r>
      <w:r>
        <w:rPr>
          <w:rFonts w:ascii="Times New Roman" w:hAnsi="Times New Roman"/>
        </w:rPr>
        <w:t>感虫品种</w:t>
      </w:r>
      <w:r>
        <w:rPr>
          <w:rFonts w:ascii="Times New Roman" w:hAnsi="Times New Roman"/>
        </w:rPr>
        <w:t>TN1</w:t>
      </w:r>
      <w:r>
        <w:rPr>
          <w:rFonts w:ascii="Times New Roman" w:hAnsi="Times New Roman"/>
        </w:rPr>
        <w:t>为母本进行杂交实验，研究抗虫基因的遗传机制，杂交实验及结果如表所示。回答下列问题：</w:t>
      </w:r>
    </w:p>
    <w:tbl>
      <w:tblPr>
        <w:tblStyle w:val="TableGrid"/>
        <w:tblW w:w="0" w:type="auto"/>
        <w:tblLayout w:type="fixed"/>
        <w:tblLook w:val="04A0"/>
      </w:tblPr>
      <w:tblGrid>
        <w:gridCol w:w="1056"/>
        <w:gridCol w:w="1507"/>
        <w:gridCol w:w="858"/>
        <w:gridCol w:w="1056"/>
        <w:gridCol w:w="1266"/>
        <w:gridCol w:w="1266"/>
      </w:tblGrid>
      <w:tr w:rsidTr="0008332B">
        <w:tblPrEx>
          <w:tblW w:w="0" w:type="auto"/>
          <w:tblLayout w:type="fixed"/>
          <w:tblLook w:val="04A0"/>
        </w:tblPrEx>
        <w:tc>
          <w:tcPr>
            <w:tcW w:w="1056" w:type="dxa"/>
            <w:vMerge w:val="restart"/>
          </w:tcPr>
          <w:p w:rsidR="002B368A" w:rsidP="0008332B">
            <w:pPr>
              <w:spacing w:line="288" w:lineRule="auto"/>
              <w:jc w:val="left"/>
              <w:rPr>
                <w:rFonts w:ascii="Times New Roman" w:hAnsi="Times New Roman"/>
              </w:rPr>
            </w:pPr>
            <w:r>
              <w:rPr>
                <w:rFonts w:ascii="Times New Roman" w:hAnsi="Times New Roman"/>
              </w:rPr>
              <w:t>杂交组合</w:t>
            </w:r>
          </w:p>
        </w:tc>
        <w:tc>
          <w:tcPr>
            <w:tcW w:w="1507" w:type="dxa"/>
            <w:vMerge w:val="restart"/>
          </w:tcPr>
          <w:p w:rsidR="002B368A" w:rsidP="0008332B">
            <w:pPr>
              <w:spacing w:line="288" w:lineRule="auto"/>
              <w:jc w:val="left"/>
              <w:rPr>
                <w:rFonts w:ascii="Times New Roman" w:hAnsi="Times New Roman"/>
              </w:rPr>
            </w:pPr>
            <w:r>
              <w:rPr>
                <w:rFonts w:ascii="Times New Roman" w:hAnsi="Times New Roman"/>
              </w:rPr>
              <w:t>亲本</w:t>
            </w:r>
          </w:p>
        </w:tc>
        <w:tc>
          <w:tcPr>
            <w:tcW w:w="858" w:type="dxa"/>
            <w:vMerge w:val="restart"/>
          </w:tcPr>
          <w:p w:rsidR="002B368A" w:rsidP="0008332B">
            <w:pPr>
              <w:spacing w:line="288" w:lineRule="auto"/>
              <w:jc w:val="left"/>
              <w:rPr>
                <w:rFonts w:ascii="Times New Roman" w:hAnsi="Times New Roman"/>
              </w:rPr>
            </w:pPr>
            <w:r>
              <w:rPr>
                <w:rFonts w:ascii="Times New Roman" w:hAnsi="Times New Roman"/>
              </w:rPr>
              <w:t>F</w:t>
            </w:r>
            <w:r>
              <w:rPr>
                <w:rFonts w:ascii="Times New Roman" w:hAnsi="Times New Roman"/>
                <w:vertAlign w:val="subscript"/>
              </w:rPr>
              <w:t>1</w:t>
            </w:r>
            <w:r>
              <w:rPr>
                <w:rFonts w:ascii="Times New Roman" w:hAnsi="Times New Roman"/>
              </w:rPr>
              <w:t>表型</w:t>
            </w:r>
          </w:p>
        </w:tc>
        <w:tc>
          <w:tcPr>
            <w:tcW w:w="3588" w:type="dxa"/>
            <w:gridSpan w:val="3"/>
          </w:tcPr>
          <w:p w:rsidR="002B368A" w:rsidP="0008332B">
            <w:pPr>
              <w:spacing w:line="288" w:lineRule="auto"/>
              <w:jc w:val="left"/>
              <w:rPr>
                <w:rFonts w:ascii="Times New Roman" w:hAnsi="Times New Roman"/>
              </w:rPr>
            </w:pPr>
            <w:r>
              <w:rPr>
                <w:rFonts w:ascii="Times New Roman" w:hAnsi="Times New Roman"/>
              </w:rPr>
              <w:t>F</w:t>
            </w:r>
            <w:r>
              <w:rPr>
                <w:rFonts w:ascii="Times New Roman" w:hAnsi="Times New Roman"/>
                <w:vertAlign w:val="subscript"/>
              </w:rPr>
              <w:t>2</w:t>
            </w:r>
          </w:p>
        </w:tc>
      </w:tr>
      <w:tr w:rsidTr="0008332B">
        <w:tblPrEx>
          <w:tblW w:w="0" w:type="auto"/>
          <w:tblLayout w:type="fixed"/>
          <w:tblLook w:val="04A0"/>
        </w:tblPrEx>
        <w:tc>
          <w:tcPr>
            <w:tcW w:w="1056" w:type="dxa"/>
            <w:vMerge/>
          </w:tcPr>
          <w:p w:rsidR="002B368A" w:rsidP="0008332B">
            <w:pPr>
              <w:spacing w:line="288" w:lineRule="auto"/>
              <w:jc w:val="left"/>
              <w:rPr>
                <w:rFonts w:ascii="Times New Roman" w:hAnsi="Times New Roman"/>
              </w:rPr>
            </w:pPr>
          </w:p>
        </w:tc>
        <w:tc>
          <w:tcPr>
            <w:tcW w:w="1507" w:type="dxa"/>
            <w:vMerge/>
          </w:tcPr>
          <w:p w:rsidR="002B368A" w:rsidP="0008332B">
            <w:pPr>
              <w:spacing w:line="288" w:lineRule="auto"/>
              <w:jc w:val="left"/>
              <w:rPr>
                <w:rFonts w:ascii="Times New Roman" w:hAnsi="Times New Roman"/>
              </w:rPr>
            </w:pPr>
          </w:p>
        </w:tc>
        <w:tc>
          <w:tcPr>
            <w:tcW w:w="858" w:type="dxa"/>
            <w:vMerge/>
          </w:tcPr>
          <w:p w:rsidR="002B368A" w:rsidP="0008332B">
            <w:pPr>
              <w:spacing w:line="288" w:lineRule="auto"/>
              <w:jc w:val="left"/>
              <w:rPr>
                <w:rFonts w:ascii="Times New Roman" w:hAnsi="Times New Roman"/>
              </w:rPr>
            </w:pPr>
          </w:p>
        </w:tc>
        <w:tc>
          <w:tcPr>
            <w:tcW w:w="1056" w:type="dxa"/>
          </w:tcPr>
          <w:p w:rsidR="002B368A" w:rsidP="0008332B">
            <w:pPr>
              <w:spacing w:line="288" w:lineRule="auto"/>
              <w:jc w:val="left"/>
              <w:rPr>
                <w:rFonts w:ascii="Times New Roman" w:hAnsi="Times New Roman"/>
              </w:rPr>
            </w:pPr>
            <w:r>
              <w:rPr>
                <w:rFonts w:ascii="Times New Roman" w:hAnsi="Times New Roman"/>
              </w:rPr>
              <w:t>总植株数</w:t>
            </w:r>
          </w:p>
        </w:tc>
        <w:tc>
          <w:tcPr>
            <w:tcW w:w="1266" w:type="dxa"/>
          </w:tcPr>
          <w:p w:rsidR="002B368A" w:rsidP="0008332B">
            <w:pPr>
              <w:spacing w:line="288" w:lineRule="auto"/>
              <w:jc w:val="left"/>
              <w:rPr>
                <w:rFonts w:ascii="Times New Roman" w:hAnsi="Times New Roman"/>
              </w:rPr>
            </w:pPr>
            <w:r>
              <w:rPr>
                <w:rFonts w:ascii="Times New Roman" w:hAnsi="Times New Roman"/>
              </w:rPr>
              <w:t>抗虫植株数</w:t>
            </w:r>
          </w:p>
        </w:tc>
        <w:tc>
          <w:tcPr>
            <w:tcW w:w="1266" w:type="dxa"/>
          </w:tcPr>
          <w:p w:rsidR="002B368A" w:rsidP="0008332B">
            <w:pPr>
              <w:spacing w:line="288" w:lineRule="auto"/>
              <w:jc w:val="left"/>
              <w:rPr>
                <w:rFonts w:ascii="Times New Roman" w:hAnsi="Times New Roman"/>
              </w:rPr>
            </w:pPr>
            <w:r>
              <w:rPr>
                <w:rFonts w:ascii="Times New Roman" w:hAnsi="Times New Roman"/>
              </w:rPr>
              <w:t>感</w:t>
            </w:r>
            <w:r>
              <w:rPr>
                <w:rFonts w:ascii="Times New Roman" w:hAnsi="Times New Roman"/>
              </w:rPr>
              <w:t>虫植株数</w:t>
            </w:r>
          </w:p>
        </w:tc>
      </w:tr>
      <w:tr w:rsidTr="0008332B">
        <w:tblPrEx>
          <w:tblW w:w="0" w:type="auto"/>
          <w:tblLayout w:type="fixed"/>
          <w:tblLook w:val="04A0"/>
        </w:tblPrEx>
        <w:tc>
          <w:tcPr>
            <w:tcW w:w="1056" w:type="dxa"/>
          </w:tcPr>
          <w:p w:rsidR="002B368A" w:rsidP="0008332B">
            <w:pPr>
              <w:spacing w:line="288" w:lineRule="auto"/>
              <w:jc w:val="left"/>
              <w:rPr>
                <w:rFonts w:ascii="Times New Roman" w:hAnsi="Times New Roman"/>
              </w:rPr>
            </w:pPr>
            <w:r>
              <w:rPr>
                <w:rFonts w:ascii="Times New Roman" w:hAnsi="Times New Roman"/>
              </w:rPr>
              <w:t>甲</w:t>
            </w:r>
          </w:p>
        </w:tc>
        <w:tc>
          <w:tcPr>
            <w:tcW w:w="1507" w:type="dxa"/>
          </w:tcPr>
          <w:p w:rsidR="002B368A" w:rsidP="0008332B">
            <w:pPr>
              <w:spacing w:line="288" w:lineRule="auto"/>
              <w:jc w:val="left"/>
              <w:rPr>
                <w:rFonts w:ascii="Times New Roman" w:hAnsi="Times New Roman"/>
              </w:rPr>
            </w:pPr>
            <w:r>
              <w:rPr>
                <w:rFonts w:ascii="Times New Roman" w:hAnsi="Times New Roman"/>
              </w:rPr>
              <w:t>TN1×</w:t>
            </w:r>
            <w:r>
              <w:rPr>
                <w:rFonts w:ascii="Times New Roman" w:hAnsi="Times New Roman"/>
              </w:rPr>
              <w:t>国眉占</w:t>
            </w:r>
          </w:p>
        </w:tc>
        <w:tc>
          <w:tcPr>
            <w:tcW w:w="858" w:type="dxa"/>
          </w:tcPr>
          <w:p w:rsidR="002B368A" w:rsidP="0008332B">
            <w:pPr>
              <w:spacing w:line="288" w:lineRule="auto"/>
              <w:jc w:val="left"/>
              <w:rPr>
                <w:rFonts w:ascii="Times New Roman" w:hAnsi="Times New Roman"/>
              </w:rPr>
            </w:pPr>
            <w:r>
              <w:rPr>
                <w:rFonts w:ascii="Times New Roman" w:hAnsi="Times New Roman"/>
              </w:rPr>
              <w:t>感</w:t>
            </w:r>
            <w:r>
              <w:rPr>
                <w:rFonts w:ascii="Times New Roman" w:hAnsi="Times New Roman"/>
              </w:rPr>
              <w:t>虫</w:t>
            </w:r>
          </w:p>
        </w:tc>
        <w:tc>
          <w:tcPr>
            <w:tcW w:w="1056" w:type="dxa"/>
          </w:tcPr>
          <w:p w:rsidR="002B368A" w:rsidP="0008332B">
            <w:pPr>
              <w:spacing w:line="288" w:lineRule="auto"/>
              <w:jc w:val="left"/>
              <w:rPr>
                <w:rFonts w:ascii="Times New Roman" w:hAnsi="Times New Roman"/>
              </w:rPr>
            </w:pPr>
            <w:r>
              <w:rPr>
                <w:rFonts w:ascii="Times New Roman" w:hAnsi="Times New Roman"/>
              </w:rPr>
              <w:t>643</w:t>
            </w:r>
          </w:p>
        </w:tc>
        <w:tc>
          <w:tcPr>
            <w:tcW w:w="1266" w:type="dxa"/>
          </w:tcPr>
          <w:p w:rsidR="002B368A" w:rsidP="0008332B">
            <w:pPr>
              <w:spacing w:line="288" w:lineRule="auto"/>
              <w:jc w:val="left"/>
              <w:rPr>
                <w:rFonts w:ascii="Times New Roman" w:hAnsi="Times New Roman"/>
              </w:rPr>
            </w:pPr>
            <w:r>
              <w:rPr>
                <w:rFonts w:ascii="Times New Roman" w:hAnsi="Times New Roman"/>
              </w:rPr>
              <w:t>160</w:t>
            </w:r>
          </w:p>
        </w:tc>
        <w:tc>
          <w:tcPr>
            <w:tcW w:w="1266" w:type="dxa"/>
          </w:tcPr>
          <w:p w:rsidR="002B368A" w:rsidP="0008332B">
            <w:pPr>
              <w:spacing w:line="288" w:lineRule="auto"/>
              <w:jc w:val="left"/>
              <w:rPr>
                <w:rFonts w:ascii="Times New Roman" w:hAnsi="Times New Roman"/>
              </w:rPr>
            </w:pPr>
            <w:r>
              <w:rPr>
                <w:rFonts w:ascii="Times New Roman" w:hAnsi="Times New Roman"/>
              </w:rPr>
              <w:t>483</w:t>
            </w:r>
          </w:p>
        </w:tc>
      </w:tr>
      <w:tr w:rsidTr="0008332B">
        <w:tblPrEx>
          <w:tblW w:w="0" w:type="auto"/>
          <w:tblLayout w:type="fixed"/>
          <w:tblLook w:val="04A0"/>
        </w:tblPrEx>
        <w:tc>
          <w:tcPr>
            <w:tcW w:w="1056" w:type="dxa"/>
          </w:tcPr>
          <w:p w:rsidR="002B368A" w:rsidP="0008332B">
            <w:pPr>
              <w:spacing w:line="288" w:lineRule="auto"/>
              <w:jc w:val="left"/>
              <w:rPr>
                <w:rFonts w:ascii="Times New Roman" w:hAnsi="Times New Roman"/>
              </w:rPr>
            </w:pPr>
            <w:r>
              <w:rPr>
                <w:rFonts w:ascii="Times New Roman" w:hAnsi="Times New Roman"/>
              </w:rPr>
              <w:t>乙</w:t>
            </w:r>
          </w:p>
        </w:tc>
        <w:tc>
          <w:tcPr>
            <w:tcW w:w="1507" w:type="dxa"/>
          </w:tcPr>
          <w:p w:rsidR="002B368A" w:rsidP="0008332B">
            <w:pPr>
              <w:spacing w:line="288" w:lineRule="auto"/>
              <w:jc w:val="left"/>
              <w:rPr>
                <w:rFonts w:ascii="Times New Roman" w:hAnsi="Times New Roman"/>
              </w:rPr>
            </w:pPr>
            <w:r>
              <w:rPr>
                <w:rFonts w:ascii="Times New Roman" w:hAnsi="Times New Roman"/>
              </w:rPr>
              <w:t>TN1×BG367</w:t>
            </w:r>
          </w:p>
        </w:tc>
        <w:tc>
          <w:tcPr>
            <w:tcW w:w="858" w:type="dxa"/>
          </w:tcPr>
          <w:p w:rsidR="002B368A" w:rsidP="0008332B">
            <w:pPr>
              <w:spacing w:line="288" w:lineRule="auto"/>
              <w:jc w:val="left"/>
              <w:rPr>
                <w:rFonts w:ascii="Times New Roman" w:hAnsi="Times New Roman"/>
              </w:rPr>
            </w:pPr>
            <w:r>
              <w:rPr>
                <w:rFonts w:ascii="Times New Roman" w:hAnsi="Times New Roman"/>
              </w:rPr>
              <w:t>感</w:t>
            </w:r>
            <w:r>
              <w:rPr>
                <w:rFonts w:ascii="Times New Roman" w:hAnsi="Times New Roman"/>
              </w:rPr>
              <w:t>虫</w:t>
            </w:r>
          </w:p>
        </w:tc>
        <w:tc>
          <w:tcPr>
            <w:tcW w:w="1056" w:type="dxa"/>
          </w:tcPr>
          <w:p w:rsidR="002B368A" w:rsidP="0008332B">
            <w:pPr>
              <w:spacing w:line="288" w:lineRule="auto"/>
              <w:jc w:val="left"/>
              <w:rPr>
                <w:rFonts w:ascii="Times New Roman" w:hAnsi="Times New Roman"/>
              </w:rPr>
            </w:pPr>
            <w:r>
              <w:rPr>
                <w:rFonts w:ascii="Times New Roman" w:hAnsi="Times New Roman"/>
              </w:rPr>
              <w:t>482</w:t>
            </w:r>
          </w:p>
        </w:tc>
        <w:tc>
          <w:tcPr>
            <w:tcW w:w="1266" w:type="dxa"/>
          </w:tcPr>
          <w:p w:rsidR="002B368A" w:rsidP="0008332B">
            <w:pPr>
              <w:spacing w:line="288" w:lineRule="auto"/>
              <w:jc w:val="left"/>
              <w:rPr>
                <w:rFonts w:ascii="Times New Roman" w:hAnsi="Times New Roman"/>
              </w:rPr>
            </w:pPr>
            <w:r>
              <w:rPr>
                <w:rFonts w:ascii="Times New Roman" w:hAnsi="Times New Roman"/>
              </w:rPr>
              <w:t>210</w:t>
            </w:r>
          </w:p>
        </w:tc>
        <w:tc>
          <w:tcPr>
            <w:tcW w:w="1266" w:type="dxa"/>
          </w:tcPr>
          <w:p w:rsidR="002B368A" w:rsidP="0008332B">
            <w:pPr>
              <w:spacing w:line="288" w:lineRule="auto"/>
              <w:jc w:val="left"/>
              <w:rPr>
                <w:rFonts w:ascii="Times New Roman" w:hAnsi="Times New Roman"/>
              </w:rPr>
            </w:pPr>
            <w:r>
              <w:rPr>
                <w:rFonts w:ascii="Times New Roman" w:hAnsi="Times New Roman"/>
              </w:rPr>
              <w:t>272</w:t>
            </w:r>
          </w:p>
        </w:tc>
      </w:tr>
      <w:tr w:rsidTr="0008332B">
        <w:tblPrEx>
          <w:tblW w:w="0" w:type="auto"/>
          <w:tblLayout w:type="fixed"/>
          <w:tblLook w:val="04A0"/>
        </w:tblPrEx>
        <w:tc>
          <w:tcPr>
            <w:tcW w:w="1056" w:type="dxa"/>
          </w:tcPr>
          <w:p w:rsidR="002B368A" w:rsidP="0008332B">
            <w:pPr>
              <w:spacing w:line="288" w:lineRule="auto"/>
              <w:jc w:val="left"/>
              <w:rPr>
                <w:rFonts w:ascii="Times New Roman" w:hAnsi="Times New Roman"/>
              </w:rPr>
            </w:pPr>
            <w:r>
              <w:rPr>
                <w:rFonts w:ascii="Times New Roman" w:hAnsi="Times New Roman"/>
              </w:rPr>
              <w:t>丙</w:t>
            </w:r>
          </w:p>
        </w:tc>
        <w:tc>
          <w:tcPr>
            <w:tcW w:w="1507" w:type="dxa"/>
          </w:tcPr>
          <w:p w:rsidR="002B368A" w:rsidP="0008332B">
            <w:pPr>
              <w:spacing w:line="288" w:lineRule="auto"/>
              <w:jc w:val="left"/>
              <w:rPr>
                <w:rFonts w:ascii="Times New Roman" w:hAnsi="Times New Roman"/>
              </w:rPr>
            </w:pPr>
            <w:r>
              <w:rPr>
                <w:rFonts w:ascii="Times New Roman" w:hAnsi="Times New Roman"/>
              </w:rPr>
              <w:t>TN1×IR25586</w:t>
            </w:r>
          </w:p>
        </w:tc>
        <w:tc>
          <w:tcPr>
            <w:tcW w:w="858" w:type="dxa"/>
          </w:tcPr>
          <w:p w:rsidR="002B368A" w:rsidP="0008332B">
            <w:pPr>
              <w:spacing w:line="288" w:lineRule="auto"/>
              <w:jc w:val="left"/>
              <w:rPr>
                <w:rFonts w:ascii="Times New Roman" w:hAnsi="Times New Roman"/>
              </w:rPr>
            </w:pPr>
            <w:r>
              <w:rPr>
                <w:rFonts w:ascii="Times New Roman" w:hAnsi="Times New Roman"/>
              </w:rPr>
              <w:t>抗虫</w:t>
            </w:r>
          </w:p>
        </w:tc>
        <w:tc>
          <w:tcPr>
            <w:tcW w:w="1056" w:type="dxa"/>
          </w:tcPr>
          <w:p w:rsidR="002B368A" w:rsidP="0008332B">
            <w:pPr>
              <w:spacing w:line="288" w:lineRule="auto"/>
              <w:jc w:val="left"/>
              <w:rPr>
                <w:rFonts w:ascii="Times New Roman" w:hAnsi="Times New Roman"/>
              </w:rPr>
            </w:pPr>
            <w:r>
              <w:rPr>
                <w:rFonts w:ascii="Times New Roman" w:hAnsi="Times New Roman"/>
              </w:rPr>
              <w:t>736</w:t>
            </w:r>
          </w:p>
        </w:tc>
        <w:tc>
          <w:tcPr>
            <w:tcW w:w="1266" w:type="dxa"/>
          </w:tcPr>
          <w:p w:rsidR="002B368A" w:rsidP="0008332B">
            <w:pPr>
              <w:spacing w:line="288" w:lineRule="auto"/>
              <w:jc w:val="left"/>
              <w:rPr>
                <w:rFonts w:ascii="Times New Roman" w:hAnsi="Times New Roman"/>
              </w:rPr>
            </w:pPr>
            <w:r>
              <w:rPr>
                <w:rFonts w:ascii="Times New Roman" w:hAnsi="Times New Roman"/>
              </w:rPr>
              <w:t>690</w:t>
            </w:r>
          </w:p>
        </w:tc>
        <w:tc>
          <w:tcPr>
            <w:tcW w:w="1266" w:type="dxa"/>
          </w:tcPr>
          <w:p w:rsidR="002B368A" w:rsidP="0008332B">
            <w:pPr>
              <w:spacing w:line="288" w:lineRule="auto"/>
              <w:jc w:val="left"/>
              <w:rPr>
                <w:rFonts w:ascii="Times New Roman" w:hAnsi="Times New Roman"/>
              </w:rPr>
            </w:pPr>
            <w:r>
              <w:rPr>
                <w:rFonts w:ascii="Times New Roman" w:hAnsi="Times New Roman"/>
              </w:rPr>
              <w:t>46</w:t>
            </w:r>
          </w:p>
        </w:tc>
      </w:tr>
      <w:tr w:rsidTr="0008332B">
        <w:tblPrEx>
          <w:tblW w:w="0" w:type="auto"/>
          <w:tblLayout w:type="fixed"/>
          <w:tblLook w:val="04A0"/>
        </w:tblPrEx>
        <w:tc>
          <w:tcPr>
            <w:tcW w:w="1056" w:type="dxa"/>
          </w:tcPr>
          <w:p w:rsidR="002B368A" w:rsidP="0008332B">
            <w:pPr>
              <w:spacing w:line="288" w:lineRule="auto"/>
              <w:jc w:val="left"/>
              <w:rPr>
                <w:rFonts w:ascii="Times New Roman" w:hAnsi="Times New Roman"/>
              </w:rPr>
            </w:pPr>
            <w:r>
              <w:rPr>
                <w:rFonts w:ascii="Times New Roman" w:hAnsi="Times New Roman"/>
              </w:rPr>
              <w:t>丁</w:t>
            </w:r>
          </w:p>
        </w:tc>
        <w:tc>
          <w:tcPr>
            <w:tcW w:w="1507" w:type="dxa"/>
          </w:tcPr>
          <w:p w:rsidR="002B368A" w:rsidP="0008332B">
            <w:pPr>
              <w:spacing w:line="288" w:lineRule="auto"/>
              <w:jc w:val="left"/>
              <w:rPr>
                <w:rFonts w:ascii="Times New Roman" w:hAnsi="Times New Roman"/>
              </w:rPr>
            </w:pPr>
            <w:r>
              <w:rPr>
                <w:rFonts w:ascii="Times New Roman" w:hAnsi="Times New Roman"/>
              </w:rPr>
              <w:t>TN1×</w:t>
            </w:r>
            <w:r>
              <w:rPr>
                <w:rFonts w:ascii="Times New Roman" w:hAnsi="Times New Roman"/>
              </w:rPr>
              <w:t>三桂占</w:t>
            </w:r>
            <w:r>
              <w:rPr>
                <w:rFonts w:ascii="Times New Roman" w:hAnsi="Times New Roman"/>
              </w:rPr>
              <w:t>1</w:t>
            </w:r>
          </w:p>
        </w:tc>
        <w:tc>
          <w:tcPr>
            <w:tcW w:w="858" w:type="dxa"/>
          </w:tcPr>
          <w:p w:rsidR="002B368A" w:rsidP="0008332B">
            <w:pPr>
              <w:spacing w:line="288" w:lineRule="auto"/>
              <w:jc w:val="left"/>
              <w:rPr>
                <w:rFonts w:ascii="Times New Roman" w:hAnsi="Times New Roman"/>
              </w:rPr>
            </w:pPr>
            <w:r>
              <w:rPr>
                <w:rFonts w:ascii="Times New Roman" w:hAnsi="Times New Roman"/>
              </w:rPr>
              <w:t>抗虫</w:t>
            </w:r>
          </w:p>
        </w:tc>
        <w:tc>
          <w:tcPr>
            <w:tcW w:w="1056" w:type="dxa"/>
          </w:tcPr>
          <w:p w:rsidR="002B368A" w:rsidP="0008332B">
            <w:pPr>
              <w:spacing w:line="288" w:lineRule="auto"/>
              <w:jc w:val="left"/>
              <w:rPr>
                <w:rFonts w:ascii="Times New Roman" w:hAnsi="Times New Roman"/>
              </w:rPr>
            </w:pPr>
            <w:r>
              <w:rPr>
                <w:rFonts w:ascii="Times New Roman" w:hAnsi="Times New Roman"/>
              </w:rPr>
              <w:t>547</w:t>
            </w:r>
          </w:p>
        </w:tc>
        <w:tc>
          <w:tcPr>
            <w:tcW w:w="1266" w:type="dxa"/>
          </w:tcPr>
          <w:p w:rsidR="002B368A" w:rsidP="0008332B">
            <w:pPr>
              <w:spacing w:line="288" w:lineRule="auto"/>
              <w:jc w:val="left"/>
              <w:rPr>
                <w:rFonts w:ascii="Times New Roman" w:hAnsi="Times New Roman"/>
              </w:rPr>
            </w:pPr>
            <w:r>
              <w:rPr>
                <w:rFonts w:ascii="Times New Roman" w:hAnsi="Times New Roman"/>
              </w:rPr>
              <w:t>409</w:t>
            </w:r>
          </w:p>
        </w:tc>
        <w:tc>
          <w:tcPr>
            <w:tcW w:w="1266" w:type="dxa"/>
          </w:tcPr>
          <w:p w:rsidR="002B368A" w:rsidP="0008332B">
            <w:pPr>
              <w:spacing w:line="288" w:lineRule="auto"/>
              <w:jc w:val="left"/>
              <w:rPr>
                <w:rFonts w:ascii="Times New Roman" w:hAnsi="Times New Roman"/>
              </w:rPr>
            </w:pPr>
            <w:r>
              <w:rPr>
                <w:rFonts w:ascii="Times New Roman" w:hAnsi="Times New Roman"/>
              </w:rPr>
              <w:t>138</w:t>
            </w:r>
          </w:p>
        </w:tc>
      </w:tr>
    </w:tbl>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）根据杂交结果可知，褐飞虱抗性基因位于一对同源染色体上的品种是</w:t>
      </w:r>
      <w:r>
        <w:rPr>
          <w:rFonts w:ascii="Times New Roman" w:hAnsi="Times New Roman"/>
        </w:rPr>
        <w:t>______</w:t>
      </w:r>
      <w:r>
        <w:rPr>
          <w:rFonts w:ascii="Times New Roman" w:hAnsi="Times New Roman"/>
        </w:rPr>
        <w:t>。研究发现，</w:t>
      </w:r>
      <w:r>
        <w:rPr>
          <w:rFonts w:ascii="Times New Roman" w:hAnsi="Times New Roman"/>
        </w:rPr>
        <w:t>IR25586</w:t>
      </w:r>
      <w:r>
        <w:rPr>
          <w:rFonts w:ascii="Times New Roman" w:hAnsi="Times New Roman"/>
        </w:rPr>
        <w:t>抗虫植株只含有抗虫基因</w:t>
      </w:r>
      <w:r>
        <w:rPr>
          <w:rFonts w:ascii="Times New Roman" w:hAnsi="Times New Roman"/>
        </w:rPr>
        <w:t>BpH1</w:t>
      </w:r>
      <w:r>
        <w:rPr>
          <w:rFonts w:ascii="Times New Roman" w:hAnsi="Times New Roman"/>
        </w:rPr>
        <w:t>，推测该基因在染色体上的分布情况为</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）让杂交组合丁的抗虫植株自交，子代总出现</w:t>
      </w:r>
      <w:r>
        <w:rPr>
          <w:rFonts w:ascii="Times New Roman" w:hAnsi="Times New Roman"/>
        </w:rPr>
        <w:t>部分感虫植株</w:t>
      </w:r>
      <w:r>
        <w:rPr>
          <w:rFonts w:ascii="Times New Roman" w:hAnsi="Times New Roman"/>
        </w:rPr>
        <w:t>，原因是</w:t>
      </w:r>
      <w:r>
        <w:rPr>
          <w:rFonts w:ascii="Times New Roman" w:hAnsi="Times New Roman"/>
        </w:rPr>
        <w:t>______</w:t>
      </w:r>
      <w:r>
        <w:rPr>
          <w:rFonts w:ascii="Times New Roman" w:hAnsi="Times New Roman"/>
        </w:rPr>
        <w:t>。若要使抗虫性</w:t>
      </w:r>
      <w:r>
        <w:rPr>
          <w:rFonts w:ascii="Times New Roman" w:hAnsi="Times New Roman"/>
        </w:rPr>
        <w:t>状能够</w:t>
      </w:r>
      <w:r>
        <w:rPr>
          <w:rFonts w:ascii="Times New Roman" w:hAnsi="Times New Roman"/>
        </w:rPr>
        <w:t>稳定遗传，则可采取的措施是</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）杂交组合乙的结果说明</w:t>
      </w:r>
      <w:r>
        <w:rPr>
          <w:rFonts w:ascii="Times New Roman" w:hAnsi="Times New Roman"/>
        </w:rPr>
        <w:t>BG367</w:t>
      </w:r>
      <w:r>
        <w:rPr>
          <w:rFonts w:ascii="Times New Roman" w:hAnsi="Times New Roman"/>
        </w:rPr>
        <w:t>的抗虫基因有两对，记为</w:t>
      </w:r>
      <w:r>
        <w:rPr>
          <w:rFonts w:ascii="Times New Roman" w:hAnsi="Times New Roman"/>
        </w:rPr>
        <w:t>BpH2</w:t>
      </w:r>
      <w:r>
        <w:rPr>
          <w:rFonts w:ascii="Times New Roman" w:hAnsi="Times New Roman"/>
        </w:rPr>
        <w:t>和</w:t>
      </w:r>
      <w:r>
        <w:rPr>
          <w:rFonts w:ascii="Times New Roman" w:hAnsi="Times New Roman"/>
        </w:rPr>
        <w:t>BpH3</w:t>
      </w:r>
      <w:r>
        <w:rPr>
          <w:rFonts w:ascii="Times New Roman" w:hAnsi="Times New Roman"/>
        </w:rPr>
        <w:t>。从基因组合的角度分析，当</w:t>
      </w:r>
      <w:r>
        <w:rPr>
          <w:rFonts w:ascii="Times New Roman" w:hAnsi="Times New Roman"/>
        </w:rPr>
        <w:t>______</w:t>
      </w:r>
      <w:r>
        <w:rPr>
          <w:rFonts w:ascii="Times New Roman" w:hAnsi="Times New Roman"/>
        </w:rPr>
        <w:t>时，水稻对褐飞虱有抗性。从理论上分析，让该组</w:t>
      </w:r>
      <w:r>
        <w:rPr>
          <w:rFonts w:ascii="Times New Roman" w:hAnsi="Times New Roman"/>
        </w:rPr>
        <w:t>F</w:t>
      </w:r>
      <w:r>
        <w:rPr>
          <w:rFonts w:ascii="Times New Roman" w:hAnsi="Times New Roman"/>
          <w:vertAlign w:val="subscript"/>
        </w:rPr>
        <w:t>2</w:t>
      </w:r>
      <w:r>
        <w:rPr>
          <w:rFonts w:ascii="Times New Roman" w:hAnsi="Times New Roman"/>
        </w:rPr>
        <w:t>的感虫植株</w:t>
      </w:r>
      <w:r>
        <w:rPr>
          <w:rFonts w:ascii="Times New Roman" w:hAnsi="Times New Roman"/>
        </w:rPr>
        <w:t>分别进行自交，子代抗虫植株所占的比例为</w:t>
      </w:r>
      <w:r>
        <w:rPr>
          <w:rFonts w:ascii="Times New Roman" w:hAnsi="Times New Roman"/>
        </w:rPr>
        <w:t>______</w:t>
      </w:r>
      <w:r>
        <w:rPr>
          <w:rFonts w:ascii="Times New Roman" w:hAnsi="Times New Roman"/>
        </w:rPr>
        <w:t>。</w:t>
      </w:r>
    </w:p>
    <w:p w:rsidR="002B368A" w:rsidP="002B368A">
      <w:pPr>
        <w:spacing w:line="288" w:lineRule="auto"/>
        <w:jc w:val="left"/>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）单一抗性的水稻对褐飞虱的抗性容易退化，为培养优良品种以增强对褐飞虱的抗性，提出一种育种思路：</w:t>
      </w:r>
      <w:r>
        <w:rPr>
          <w:rFonts w:ascii="Times New Roman" w:hAnsi="Times New Roman"/>
        </w:rPr>
        <w:t>____________</w:t>
      </w:r>
      <w:r>
        <w:rPr>
          <w:rFonts w:ascii="Times New Roman" w:hAnsi="Times New Roman"/>
        </w:rPr>
        <w:t>。</w:t>
      </w:r>
    </w:p>
    <w:p w:rsidR="002B368A">
      <w:pPr>
        <w:widowControl/>
        <w:jc w:val="left"/>
        <w:rPr>
          <w:rFonts w:ascii="Times New Roman" w:hAnsi="Times New Roman"/>
        </w:rPr>
      </w:pPr>
      <w:r>
        <w:rPr>
          <w:rFonts w:ascii="Times New Roman" w:hAnsi="Times New Roman"/>
        </w:rPr>
        <w:br w:type="page"/>
      </w:r>
    </w:p>
    <w:p w:rsidR="002B368A" w:rsidRPr="002B368A" w:rsidP="002B368A">
      <w:pPr>
        <w:spacing w:line="288" w:lineRule="auto"/>
        <w:jc w:val="center"/>
        <w:rPr>
          <w:rFonts w:ascii="Times New Roman" w:hAnsi="Times New Roman"/>
          <w:b/>
          <w:sz w:val="32"/>
        </w:rPr>
      </w:pPr>
      <w:r w:rsidRPr="002B368A">
        <w:rPr>
          <w:rFonts w:ascii="Times New Roman" w:hAnsi="Times New Roman"/>
          <w:b/>
          <w:sz w:val="32"/>
        </w:rPr>
        <w:t>沧</w:t>
      </w:r>
      <w:r w:rsidRPr="002B368A">
        <w:rPr>
          <w:rFonts w:ascii="Times New Roman" w:hAnsi="Times New Roman"/>
          <w:b/>
          <w:sz w:val="32"/>
        </w:rPr>
        <w:t>衡名校联盟高三年级</w:t>
      </w:r>
      <w:r w:rsidRPr="002B368A">
        <w:rPr>
          <w:rFonts w:ascii="Times New Roman" w:hAnsi="Times New Roman"/>
          <w:b/>
          <w:sz w:val="32"/>
        </w:rPr>
        <w:t>2024—2025</w:t>
      </w:r>
      <w:r w:rsidRPr="002B368A">
        <w:rPr>
          <w:rFonts w:ascii="Times New Roman" w:hAnsi="Times New Roman"/>
          <w:b/>
          <w:sz w:val="32"/>
        </w:rPr>
        <w:t>学年上学期期中考试</w:t>
      </w:r>
    </w:p>
    <w:p w:rsidR="002B368A" w:rsidRPr="002B368A" w:rsidP="002B368A">
      <w:pPr>
        <w:spacing w:line="288" w:lineRule="auto"/>
        <w:jc w:val="center"/>
        <w:rPr>
          <w:rFonts w:ascii="Times New Roman" w:hAnsi="Times New Roman"/>
          <w:b/>
          <w:sz w:val="32"/>
        </w:rPr>
      </w:pPr>
      <w:r w:rsidRPr="002B368A">
        <w:rPr>
          <w:rFonts w:ascii="Times New Roman" w:hAnsi="Times New Roman"/>
          <w:b/>
          <w:sz w:val="32"/>
        </w:rPr>
        <w:t>生物学参考答案</w:t>
      </w:r>
    </w:p>
    <w:p w:rsidR="002B368A" w:rsidP="002B368A">
      <w:pPr>
        <w:spacing w:line="288" w:lineRule="auto"/>
        <w:rPr>
          <w:rFonts w:ascii="Times New Roman" w:hAnsi="Times New Roman"/>
        </w:rPr>
      </w:pPr>
      <w:r w:rsidRPr="002D7B69">
        <w:rPr>
          <w:rFonts w:ascii="Times New Roman" w:hAnsi="Times New Roman"/>
        </w:rPr>
        <w:t>1</w:t>
      </w:r>
      <w:r w:rsidRPr="002D7B69">
        <w:rPr>
          <w:rFonts w:ascii="Times New Roman" w:hAnsi="Times New Roman"/>
        </w:rPr>
        <w:t>．</w:t>
      </w:r>
      <w:r w:rsidRPr="002D7B69">
        <w:rPr>
          <w:rFonts w:ascii="Times New Roman" w:hAnsi="Times New Roman"/>
        </w:rPr>
        <w:t>D2</w:t>
      </w:r>
      <w:r w:rsidRPr="002D7B69">
        <w:rPr>
          <w:rFonts w:ascii="Times New Roman" w:hAnsi="Times New Roman"/>
        </w:rPr>
        <w:t>．</w:t>
      </w:r>
      <w:r w:rsidRPr="002D7B69">
        <w:rPr>
          <w:rFonts w:ascii="Times New Roman" w:hAnsi="Times New Roman"/>
        </w:rPr>
        <w:t>C3</w:t>
      </w:r>
      <w:r w:rsidRPr="002D7B69">
        <w:rPr>
          <w:rFonts w:ascii="Times New Roman" w:hAnsi="Times New Roman"/>
        </w:rPr>
        <w:t>．</w:t>
      </w:r>
      <w:r w:rsidRPr="002D7B69">
        <w:rPr>
          <w:rFonts w:ascii="Times New Roman" w:hAnsi="Times New Roman"/>
        </w:rPr>
        <w:t>D4</w:t>
      </w:r>
      <w:r w:rsidRPr="002D7B69">
        <w:rPr>
          <w:rFonts w:ascii="Times New Roman" w:hAnsi="Times New Roman"/>
        </w:rPr>
        <w:t>．</w:t>
      </w:r>
      <w:r w:rsidRPr="002D7B69">
        <w:rPr>
          <w:rFonts w:ascii="Times New Roman" w:hAnsi="Times New Roman"/>
        </w:rPr>
        <w:t>D5</w:t>
      </w:r>
      <w:r w:rsidRPr="002D7B69">
        <w:rPr>
          <w:rFonts w:ascii="Times New Roman" w:hAnsi="Times New Roman"/>
        </w:rPr>
        <w:t>．</w:t>
      </w:r>
      <w:r w:rsidRPr="002D7B69">
        <w:rPr>
          <w:rFonts w:ascii="Times New Roman" w:hAnsi="Times New Roman"/>
        </w:rPr>
        <w:t>B6</w:t>
      </w:r>
      <w:r w:rsidRPr="002D7B69">
        <w:rPr>
          <w:rFonts w:ascii="Times New Roman" w:hAnsi="Times New Roman"/>
        </w:rPr>
        <w:t>．</w:t>
      </w:r>
      <w:r w:rsidRPr="002D7B69">
        <w:rPr>
          <w:rFonts w:ascii="Times New Roman" w:hAnsi="Times New Roman"/>
        </w:rPr>
        <w:t>B7</w:t>
      </w:r>
      <w:r w:rsidRPr="002D7B69">
        <w:rPr>
          <w:rFonts w:ascii="Times New Roman" w:hAnsi="Times New Roman"/>
        </w:rPr>
        <w:t>．</w:t>
      </w:r>
      <w:r w:rsidRPr="002D7B69">
        <w:rPr>
          <w:rFonts w:ascii="Times New Roman" w:hAnsi="Times New Roman"/>
        </w:rPr>
        <w:t>C8</w:t>
      </w:r>
      <w:r w:rsidRPr="002D7B69">
        <w:rPr>
          <w:rFonts w:ascii="Times New Roman" w:hAnsi="Times New Roman"/>
        </w:rPr>
        <w:t>．</w:t>
      </w:r>
      <w:r w:rsidRPr="002D7B69">
        <w:rPr>
          <w:rFonts w:ascii="Times New Roman" w:hAnsi="Times New Roman"/>
        </w:rPr>
        <w:t>D9</w:t>
      </w:r>
      <w:r w:rsidRPr="002D7B69">
        <w:rPr>
          <w:rFonts w:ascii="Times New Roman" w:hAnsi="Times New Roman"/>
        </w:rPr>
        <w:t>．</w:t>
      </w:r>
      <w:r w:rsidRPr="002D7B69">
        <w:rPr>
          <w:rFonts w:ascii="Times New Roman" w:hAnsi="Times New Roman"/>
        </w:rPr>
        <w:t>A10</w:t>
      </w:r>
      <w:r w:rsidRPr="002D7B69">
        <w:rPr>
          <w:rFonts w:ascii="Times New Roman" w:hAnsi="Times New Roman"/>
        </w:rPr>
        <w:t>．</w:t>
      </w:r>
      <w:r w:rsidRPr="002D7B69">
        <w:rPr>
          <w:rFonts w:ascii="Times New Roman" w:hAnsi="Times New Roman"/>
        </w:rPr>
        <w:t>D</w:t>
      </w:r>
    </w:p>
    <w:p w:rsidR="002B368A" w:rsidRPr="002D7B69" w:rsidP="002B368A">
      <w:pPr>
        <w:spacing w:line="288" w:lineRule="auto"/>
        <w:rPr>
          <w:rFonts w:ascii="Times New Roman" w:hAnsi="Times New Roman"/>
        </w:rPr>
      </w:pPr>
      <w:r w:rsidRPr="002D7B69">
        <w:rPr>
          <w:rFonts w:ascii="Times New Roman" w:hAnsi="Times New Roman"/>
        </w:rPr>
        <w:t>11</w:t>
      </w:r>
      <w:r w:rsidRPr="002D7B69">
        <w:rPr>
          <w:rFonts w:ascii="Times New Roman" w:hAnsi="Times New Roman"/>
        </w:rPr>
        <w:t>．</w:t>
      </w:r>
      <w:r w:rsidRPr="002D7B69">
        <w:rPr>
          <w:rFonts w:ascii="Times New Roman" w:hAnsi="Times New Roman"/>
        </w:rPr>
        <w:t>D12</w:t>
      </w:r>
      <w:r w:rsidRPr="002D7B69">
        <w:rPr>
          <w:rFonts w:ascii="Times New Roman" w:hAnsi="Times New Roman"/>
        </w:rPr>
        <w:t>．</w:t>
      </w:r>
      <w:r w:rsidRPr="002D7B69">
        <w:rPr>
          <w:rFonts w:ascii="Times New Roman" w:hAnsi="Times New Roman"/>
        </w:rPr>
        <w:t>B13</w:t>
      </w:r>
      <w:r w:rsidRPr="002D7B69">
        <w:rPr>
          <w:rFonts w:ascii="Times New Roman" w:hAnsi="Times New Roman"/>
        </w:rPr>
        <w:t>．</w:t>
      </w:r>
      <w:r w:rsidRPr="002D7B69">
        <w:rPr>
          <w:rFonts w:ascii="Times New Roman" w:hAnsi="Times New Roman"/>
        </w:rPr>
        <w:t>C14</w:t>
      </w:r>
      <w:r w:rsidRPr="002D7B69">
        <w:rPr>
          <w:rFonts w:ascii="Times New Roman" w:hAnsi="Times New Roman"/>
        </w:rPr>
        <w:t>．</w:t>
      </w:r>
      <w:r w:rsidRPr="002D7B69">
        <w:rPr>
          <w:rFonts w:ascii="Times New Roman" w:hAnsi="Times New Roman"/>
        </w:rPr>
        <w:t>BD15</w:t>
      </w:r>
      <w:r w:rsidRPr="002D7B69">
        <w:rPr>
          <w:rFonts w:ascii="Times New Roman" w:hAnsi="Times New Roman"/>
        </w:rPr>
        <w:t>．</w:t>
      </w:r>
      <w:r w:rsidRPr="002D7B69">
        <w:rPr>
          <w:rFonts w:ascii="Times New Roman" w:hAnsi="Times New Roman"/>
        </w:rPr>
        <w:t>ABD16</w:t>
      </w:r>
      <w:r w:rsidRPr="002D7B69">
        <w:rPr>
          <w:rFonts w:ascii="Times New Roman" w:hAnsi="Times New Roman"/>
        </w:rPr>
        <w:t>．</w:t>
      </w:r>
      <w:r w:rsidRPr="002D7B69">
        <w:rPr>
          <w:rFonts w:ascii="Times New Roman" w:hAnsi="Times New Roman"/>
        </w:rPr>
        <w:t>AD17</w:t>
      </w:r>
      <w:r w:rsidRPr="002D7B69">
        <w:rPr>
          <w:rFonts w:ascii="Times New Roman" w:hAnsi="Times New Roman"/>
        </w:rPr>
        <w:t>．</w:t>
      </w:r>
      <w:r w:rsidRPr="002D7B69">
        <w:rPr>
          <w:rFonts w:ascii="Times New Roman" w:hAnsi="Times New Roman"/>
        </w:rPr>
        <w:t>BC18</w:t>
      </w:r>
      <w:r w:rsidRPr="002D7B69">
        <w:rPr>
          <w:rFonts w:ascii="Times New Roman" w:hAnsi="Times New Roman"/>
        </w:rPr>
        <w:t>．</w:t>
      </w:r>
      <w:r w:rsidRPr="002D7B69">
        <w:rPr>
          <w:rFonts w:ascii="Times New Roman" w:hAnsi="Times New Roman"/>
        </w:rPr>
        <w:t>ABD</w:t>
      </w:r>
    </w:p>
    <w:p w:rsidR="002B368A" w:rsidRPr="002D7B69" w:rsidP="002B368A">
      <w:pPr>
        <w:spacing w:line="288" w:lineRule="auto"/>
        <w:rPr>
          <w:rFonts w:ascii="Times New Roman" w:hAnsi="Times New Roman"/>
        </w:rPr>
      </w:pPr>
      <w:r w:rsidRPr="002D7B69">
        <w:rPr>
          <w:rFonts w:ascii="Times New Roman" w:hAnsi="Times New Roman"/>
        </w:rPr>
        <w:t>19</w:t>
      </w:r>
      <w:r w:rsidRPr="002D7B69">
        <w:rPr>
          <w:rFonts w:ascii="Times New Roman" w:hAnsi="Times New Roman"/>
        </w:rPr>
        <w:t>．（</w:t>
      </w:r>
      <w:r w:rsidRPr="002D7B69">
        <w:rPr>
          <w:rFonts w:ascii="Times New Roman" w:hAnsi="Times New Roman"/>
        </w:rPr>
        <w:t>1</w:t>
      </w:r>
      <w:r w:rsidRPr="002D7B69">
        <w:rPr>
          <w:rFonts w:ascii="Times New Roman" w:hAnsi="Times New Roman"/>
        </w:rPr>
        <w:t>）核糖体（</w:t>
      </w:r>
      <w:r w:rsidRPr="002D7B69">
        <w:rPr>
          <w:rFonts w:ascii="Times New Roman" w:hAnsi="Times New Roman"/>
        </w:rPr>
        <w:t>1</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羧基（</w:t>
      </w:r>
      <w:r w:rsidRPr="002D7B69">
        <w:rPr>
          <w:rFonts w:ascii="Times New Roman" w:hAnsi="Times New Roman"/>
        </w:rPr>
        <w:t>1</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2</w:t>
      </w:r>
      <w:r w:rsidRPr="002D7B69">
        <w:rPr>
          <w:rFonts w:ascii="Times New Roman" w:hAnsi="Times New Roman"/>
        </w:rPr>
        <w:t>）与</w:t>
      </w:r>
      <w:r w:rsidRPr="002D7B69">
        <w:rPr>
          <w:rFonts w:ascii="Times New Roman" w:hAnsi="Times New Roman"/>
        </w:rPr>
        <w:t>MPP</w:t>
      </w:r>
      <w:r w:rsidRPr="002D7B69">
        <w:rPr>
          <w:rFonts w:ascii="Times New Roman" w:hAnsi="Times New Roman"/>
        </w:rPr>
        <w:t>结合并将其转运至线粒体外膜（</w:t>
      </w:r>
      <w:r w:rsidRPr="002D7B69">
        <w:rPr>
          <w:rFonts w:ascii="Times New Roman" w:hAnsi="Times New Roman"/>
        </w:rPr>
        <w:t>2</w:t>
      </w:r>
      <w:r w:rsidRPr="002D7B69">
        <w:rPr>
          <w:rFonts w:ascii="Times New Roman" w:hAnsi="Times New Roman"/>
        </w:rPr>
        <w:t>分）催化</w:t>
      </w:r>
      <w:r w:rsidRPr="002D7B69">
        <w:rPr>
          <w:rFonts w:ascii="Times New Roman" w:hAnsi="Times New Roman"/>
        </w:rPr>
        <w:t>ATP</w:t>
      </w:r>
      <w:r w:rsidRPr="002D7B69">
        <w:rPr>
          <w:rFonts w:ascii="Times New Roman" w:hAnsi="Times New Roman"/>
        </w:rPr>
        <w:t>水解，从而为蛋白质的加工供能（</w:t>
      </w:r>
      <w:r w:rsidRPr="002D7B69">
        <w:rPr>
          <w:rFonts w:ascii="Times New Roman" w:hAnsi="Times New Roman"/>
        </w:rPr>
        <w:t>1</w:t>
      </w:r>
      <w:r w:rsidRPr="002D7B69">
        <w:rPr>
          <w:rFonts w:ascii="Times New Roman" w:hAnsi="Times New Roman"/>
        </w:rPr>
        <w:t>分）蛋白酶（</w:t>
      </w:r>
      <w:r w:rsidRPr="002D7B69">
        <w:rPr>
          <w:rFonts w:ascii="Times New Roman" w:hAnsi="Times New Roman"/>
        </w:rPr>
        <w:t>1</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3</w:t>
      </w:r>
      <w:r w:rsidRPr="002D7B69">
        <w:rPr>
          <w:rFonts w:ascii="Times New Roman" w:hAnsi="Times New Roman"/>
        </w:rPr>
        <w:t>）多数</w:t>
      </w:r>
      <w:r w:rsidRPr="002D7B69">
        <w:rPr>
          <w:rFonts w:ascii="Times New Roman" w:hAnsi="Times New Roman"/>
        </w:rPr>
        <w:t>MP</w:t>
      </w:r>
      <w:r w:rsidRPr="002D7B69">
        <w:rPr>
          <w:rFonts w:ascii="Times New Roman" w:hAnsi="Times New Roman"/>
        </w:rPr>
        <w:t>由核基因</w:t>
      </w:r>
      <w:r w:rsidRPr="002D7B69">
        <w:rPr>
          <w:rFonts w:ascii="Times New Roman" w:hAnsi="Times New Roman"/>
        </w:rPr>
        <w:t>编码，卵细胞受精后，精子的核基因表达（</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基因大量转录合成较多的</w:t>
      </w:r>
      <w:r w:rsidRPr="002D7B69">
        <w:rPr>
          <w:rFonts w:ascii="Times New Roman" w:hAnsi="Times New Roman"/>
        </w:rPr>
        <w:t>mRNA</w:t>
      </w:r>
      <w:r w:rsidRPr="002D7B69">
        <w:rPr>
          <w:rFonts w:ascii="Times New Roman" w:hAnsi="Times New Roman"/>
        </w:rPr>
        <w:t>，多个核糖体结合到</w:t>
      </w:r>
      <w:r w:rsidRPr="002D7B69">
        <w:rPr>
          <w:rFonts w:ascii="Times New Roman" w:hAnsi="Times New Roman"/>
        </w:rPr>
        <w:t>mRNA</w:t>
      </w:r>
      <w:r w:rsidRPr="002D7B69">
        <w:rPr>
          <w:rFonts w:ascii="Times New Roman" w:hAnsi="Times New Roman"/>
        </w:rPr>
        <w:t>上，形成多聚核糖体（</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4</w:t>
      </w:r>
      <w:r w:rsidRPr="002D7B69">
        <w:rPr>
          <w:rFonts w:ascii="Times New Roman" w:hAnsi="Times New Roman"/>
        </w:rPr>
        <w:t>）敲除</w:t>
      </w:r>
      <w:r w:rsidRPr="002D7B69">
        <w:rPr>
          <w:rFonts w:ascii="Times New Roman" w:hAnsi="Times New Roman"/>
        </w:rPr>
        <w:t>MP</w:t>
      </w:r>
      <w:r w:rsidRPr="002D7B69">
        <w:rPr>
          <w:rFonts w:ascii="Times New Roman" w:hAnsi="Times New Roman"/>
        </w:rPr>
        <w:t>基因中合成信号序列的碱基后，检测线粒体中</w:t>
      </w:r>
      <w:r w:rsidRPr="002D7B69">
        <w:rPr>
          <w:rFonts w:ascii="Times New Roman" w:hAnsi="Times New Roman"/>
        </w:rPr>
        <w:t>MP</w:t>
      </w:r>
      <w:r w:rsidRPr="002D7B69">
        <w:rPr>
          <w:rFonts w:ascii="Times New Roman" w:hAnsi="Times New Roman"/>
        </w:rPr>
        <w:t>的含量（合理即可，</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20</w:t>
      </w:r>
      <w:r w:rsidRPr="002D7B69">
        <w:rPr>
          <w:rFonts w:ascii="Times New Roman" w:hAnsi="Times New Roman"/>
        </w:rPr>
        <w:t>．（</w:t>
      </w:r>
      <w:r w:rsidRPr="002D7B69">
        <w:rPr>
          <w:rFonts w:ascii="Times New Roman" w:hAnsi="Times New Roman"/>
        </w:rPr>
        <w:t>1</w:t>
      </w:r>
      <w:r w:rsidRPr="002D7B69">
        <w:rPr>
          <w:rFonts w:ascii="Times New Roman" w:hAnsi="Times New Roman"/>
        </w:rPr>
        <w:t>）红光和蓝紫光（</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C</w:t>
      </w:r>
      <w:r w:rsidRPr="002B368A">
        <w:rPr>
          <w:rFonts w:ascii="Times New Roman" w:hAnsi="Times New Roman"/>
          <w:vertAlign w:val="subscript"/>
        </w:rPr>
        <w:t>3</w:t>
      </w:r>
      <w:r w:rsidRPr="002D7B69">
        <w:rPr>
          <w:rFonts w:ascii="Times New Roman" w:hAnsi="Times New Roman"/>
        </w:rPr>
        <w:t>的还原（</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mut</w:t>
      </w:r>
      <w:r w:rsidRPr="002D7B69">
        <w:rPr>
          <w:rFonts w:ascii="Times New Roman" w:hAnsi="Times New Roman"/>
        </w:rPr>
        <w:t>的叶绿素含量较低，吸收的光能较少，光反应速率较小（</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2</w:t>
      </w:r>
      <w:r w:rsidRPr="002D7B69">
        <w:rPr>
          <w:rFonts w:ascii="Times New Roman" w:hAnsi="Times New Roman"/>
        </w:rPr>
        <w:t>）高（</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光饱和点时，</w:t>
      </w:r>
      <w:r w:rsidRPr="002D7B69">
        <w:rPr>
          <w:rFonts w:ascii="Times New Roman" w:hAnsi="Times New Roman"/>
        </w:rPr>
        <w:t>mut</w:t>
      </w:r>
      <w:r w:rsidRPr="002D7B69">
        <w:rPr>
          <w:rFonts w:ascii="Times New Roman" w:hAnsi="Times New Roman"/>
        </w:rPr>
        <w:t>的气孔导度较大，吸收的</w:t>
      </w:r>
      <w:r w:rsidRPr="002D7B69">
        <w:rPr>
          <w:rFonts w:ascii="Times New Roman" w:hAnsi="Times New Roman"/>
        </w:rPr>
        <w:t>CO</w:t>
      </w:r>
      <w:r w:rsidRPr="002B368A">
        <w:rPr>
          <w:rFonts w:ascii="Times New Roman" w:hAnsi="Times New Roman"/>
          <w:vertAlign w:val="subscript"/>
        </w:rPr>
        <w:t>2</w:t>
      </w:r>
      <w:r w:rsidRPr="002D7B69">
        <w:rPr>
          <w:rFonts w:ascii="Times New Roman" w:hAnsi="Times New Roman"/>
        </w:rPr>
        <w:t>较多（</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3</w:t>
      </w:r>
      <w:r w:rsidRPr="002D7B69">
        <w:rPr>
          <w:rFonts w:ascii="Times New Roman" w:hAnsi="Times New Roman"/>
        </w:rPr>
        <w:t>）给予较高的光照强度后，</w:t>
      </w:r>
      <w:r w:rsidRPr="002D7B69">
        <w:rPr>
          <w:rFonts w:ascii="Times New Roman" w:hAnsi="Times New Roman"/>
        </w:rPr>
        <w:t>mut</w:t>
      </w:r>
      <w:r w:rsidRPr="002D7B69">
        <w:rPr>
          <w:rFonts w:ascii="Times New Roman" w:hAnsi="Times New Roman"/>
        </w:rPr>
        <w:t>的光合速率高于</w:t>
      </w:r>
      <w:r w:rsidRPr="002D7B69">
        <w:rPr>
          <w:rFonts w:ascii="Times New Roman" w:hAnsi="Times New Roman"/>
        </w:rPr>
        <w:t>WT</w:t>
      </w:r>
      <w:r w:rsidRPr="002D7B69">
        <w:rPr>
          <w:rFonts w:ascii="Times New Roman" w:hAnsi="Times New Roman"/>
        </w:rPr>
        <w:t>（</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21</w:t>
      </w:r>
      <w:r w:rsidRPr="002D7B69">
        <w:rPr>
          <w:rFonts w:ascii="Times New Roman" w:hAnsi="Times New Roman"/>
        </w:rPr>
        <w:t>．（</w:t>
      </w:r>
      <w:r w:rsidRPr="002D7B69">
        <w:rPr>
          <w:rFonts w:ascii="Times New Roman" w:hAnsi="Times New Roman"/>
        </w:rPr>
        <w:t>1</w:t>
      </w:r>
      <w:r w:rsidRPr="002D7B69">
        <w:rPr>
          <w:rFonts w:ascii="Times New Roman" w:hAnsi="Times New Roman"/>
        </w:rPr>
        <w:t>）同源染色体（</w:t>
      </w:r>
      <w:r w:rsidRPr="002D7B69">
        <w:rPr>
          <w:rFonts w:ascii="Times New Roman" w:hAnsi="Times New Roman"/>
        </w:rPr>
        <w:t>1</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四分体（</w:t>
      </w:r>
      <w:r w:rsidRPr="002D7B69">
        <w:rPr>
          <w:rFonts w:ascii="Times New Roman" w:hAnsi="Times New Roman"/>
        </w:rPr>
        <w:t>1</w:t>
      </w:r>
      <w:r w:rsidRPr="002D7B69">
        <w:rPr>
          <w:rFonts w:ascii="Times New Roman" w:hAnsi="Times New Roman"/>
        </w:rPr>
        <w:t>分）</w:t>
      </w:r>
      <w:r w:rsidRPr="002D7B69">
        <w:rPr>
          <w:rFonts w:ascii="Times New Roman" w:hAnsi="Times New Roman"/>
        </w:rPr>
        <w:t>20</w:t>
      </w:r>
      <w:r w:rsidRPr="002D7B69">
        <w:rPr>
          <w:rFonts w:ascii="Times New Roman" w:hAnsi="Times New Roman"/>
        </w:rPr>
        <w:t>（</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2</w:t>
      </w:r>
      <w:r w:rsidRPr="002D7B69">
        <w:rPr>
          <w:rFonts w:ascii="Times New Roman" w:hAnsi="Times New Roman"/>
        </w:rPr>
        <w:t>）染色体不均等分离（</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染色体片段丢失（或部分染色体未进入细胞两极）（</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3</w:t>
      </w:r>
      <w:r w:rsidRPr="002D7B69">
        <w:rPr>
          <w:rFonts w:ascii="Times New Roman" w:hAnsi="Times New Roman"/>
        </w:rPr>
        <w:t>）同源染色体联会紊乱，不能形成可育的配子（</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用秋水仙素处理伊藤杂种的幼苗，使染色体加倍（</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22</w:t>
      </w:r>
      <w:r w:rsidRPr="002D7B69">
        <w:rPr>
          <w:rFonts w:ascii="Times New Roman" w:hAnsi="Times New Roman"/>
        </w:rPr>
        <w:t>．（</w:t>
      </w:r>
      <w:r w:rsidRPr="002D7B69">
        <w:rPr>
          <w:rFonts w:ascii="Times New Roman" w:hAnsi="Times New Roman"/>
        </w:rPr>
        <w:t>1</w:t>
      </w:r>
      <w:r w:rsidRPr="002D7B69">
        <w:rPr>
          <w:rFonts w:ascii="Times New Roman" w:hAnsi="Times New Roman"/>
        </w:rPr>
        <w:t>）花粉不育，不需要人工去雄（</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隐性（</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基因突变的频率很低，且具有</w:t>
      </w:r>
      <w:r w:rsidRPr="002D7B69">
        <w:rPr>
          <w:rFonts w:ascii="Times New Roman" w:hAnsi="Times New Roman"/>
        </w:rPr>
        <w:t>不</w:t>
      </w:r>
      <w:r w:rsidRPr="002D7B69">
        <w:rPr>
          <w:rFonts w:ascii="Times New Roman" w:hAnsi="Times New Roman"/>
        </w:rPr>
        <w:t>定向性（</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2</w:t>
      </w:r>
      <w:r w:rsidRPr="002D7B69">
        <w:rPr>
          <w:rFonts w:ascii="Times New Roman" w:hAnsi="Times New Roman"/>
        </w:rPr>
        <w:t>）终止密码子</w:t>
      </w:r>
      <w:r w:rsidRPr="002D7B69">
        <w:rPr>
          <w:rFonts w:ascii="Times New Roman" w:hAnsi="Times New Roman"/>
        </w:rPr>
        <w:t>UAG</w:t>
      </w:r>
      <w:r w:rsidRPr="002D7B69">
        <w:rPr>
          <w:rFonts w:ascii="Times New Roman" w:hAnsi="Times New Roman"/>
        </w:rPr>
        <w:t>变为</w:t>
      </w:r>
      <w:r w:rsidRPr="002D7B69">
        <w:rPr>
          <w:rFonts w:ascii="Times New Roman" w:hAnsi="Times New Roman"/>
        </w:rPr>
        <w:t>UAU</w:t>
      </w:r>
      <w:r w:rsidRPr="002D7B69">
        <w:rPr>
          <w:rFonts w:ascii="Times New Roman" w:hAnsi="Times New Roman"/>
        </w:rPr>
        <w:t>，翻译继续进行（</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3</w:t>
      </w:r>
      <w:r w:rsidRPr="002D7B69">
        <w:rPr>
          <w:rFonts w:ascii="Times New Roman" w:hAnsi="Times New Roman"/>
        </w:rPr>
        <w:t>）逆转录（</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r w:rsidRPr="002D7B69">
        <w:rPr>
          <w:rFonts w:ascii="Times New Roman" w:hAnsi="Times New Roman"/>
        </w:rPr>
        <w:t>GAMYB</w:t>
      </w:r>
      <w:r w:rsidRPr="002D7B69">
        <w:rPr>
          <w:rFonts w:ascii="Times New Roman" w:hAnsi="Times New Roman"/>
        </w:rPr>
        <w:t>基因表达量低，不能调控</w:t>
      </w:r>
      <w:r w:rsidRPr="002D7B69">
        <w:rPr>
          <w:rFonts w:ascii="Times New Roman" w:hAnsi="Times New Roman"/>
        </w:rPr>
        <w:t>UDT1</w:t>
      </w:r>
      <w:r w:rsidRPr="002D7B69">
        <w:rPr>
          <w:rFonts w:ascii="Times New Roman" w:hAnsi="Times New Roman"/>
        </w:rPr>
        <w:t>基因和</w:t>
      </w:r>
      <w:r w:rsidRPr="002D7B69">
        <w:rPr>
          <w:rFonts w:ascii="Times New Roman" w:hAnsi="Times New Roman"/>
        </w:rPr>
        <w:t>TDR</w:t>
      </w:r>
      <w:r w:rsidRPr="002D7B69">
        <w:rPr>
          <w:rFonts w:ascii="Times New Roman" w:hAnsi="Times New Roman"/>
        </w:rPr>
        <w:t>基因的表达，使二者的表达量减少，花药的发育受抑制（</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23</w:t>
      </w:r>
      <w:r w:rsidRPr="002D7B69">
        <w:rPr>
          <w:rFonts w:ascii="Times New Roman" w:hAnsi="Times New Roman"/>
        </w:rPr>
        <w:t>．（</w:t>
      </w:r>
      <w:r w:rsidRPr="002D7B69">
        <w:rPr>
          <w:rFonts w:ascii="Times New Roman" w:hAnsi="Times New Roman"/>
        </w:rPr>
        <w:t>1</w:t>
      </w:r>
      <w:r w:rsidRPr="002D7B69">
        <w:rPr>
          <w:rFonts w:ascii="Times New Roman" w:hAnsi="Times New Roman"/>
        </w:rPr>
        <w:t>）国眉占和</w:t>
      </w:r>
      <w:r w:rsidRPr="002D7B69">
        <w:rPr>
          <w:rFonts w:ascii="Times New Roman" w:hAnsi="Times New Roman"/>
        </w:rPr>
        <w:t>三桂占</w:t>
      </w:r>
      <w:r w:rsidRPr="002D7B69">
        <w:rPr>
          <w:rFonts w:ascii="Times New Roman" w:hAnsi="Times New Roman"/>
        </w:rPr>
        <w:t>1</w:t>
      </w:r>
      <w:r w:rsidRPr="002D7B69">
        <w:rPr>
          <w:rFonts w:ascii="Times New Roman" w:hAnsi="Times New Roman"/>
        </w:rPr>
        <w:t>（</w:t>
      </w:r>
      <w:r w:rsidRPr="002D7B69">
        <w:rPr>
          <w:rFonts w:ascii="Times New Roman" w:hAnsi="Times New Roman"/>
        </w:rPr>
        <w:t>1</w:t>
      </w:r>
      <w:r w:rsidRPr="002D7B69">
        <w:rPr>
          <w:rFonts w:ascii="Times New Roman" w:hAnsi="Times New Roman"/>
        </w:rPr>
        <w:t>分）分布在两对同源染色体上（</w:t>
      </w:r>
      <w:r w:rsidRPr="002D7B69">
        <w:rPr>
          <w:rFonts w:ascii="Times New Roman" w:hAnsi="Times New Roman"/>
        </w:rPr>
        <w:t>1</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2</w:t>
      </w:r>
      <w:r w:rsidRPr="002D7B69">
        <w:rPr>
          <w:rFonts w:ascii="Times New Roman" w:hAnsi="Times New Roman"/>
        </w:rPr>
        <w:t>）抗虫基因为显性基因，抗虫植株中有杂合子（</w:t>
      </w:r>
      <w:r w:rsidRPr="002D7B69">
        <w:rPr>
          <w:rFonts w:ascii="Times New Roman" w:hAnsi="Times New Roman"/>
        </w:rPr>
        <w:t>2</w:t>
      </w:r>
      <w:r w:rsidRPr="002D7B69">
        <w:rPr>
          <w:rFonts w:ascii="Times New Roman" w:hAnsi="Times New Roman"/>
        </w:rPr>
        <w:t>分）</w:t>
      </w:r>
      <w:r>
        <w:rPr>
          <w:rFonts w:ascii="Times New Roman" w:hAnsi="Times New Roman" w:hint="eastAsia"/>
        </w:rPr>
        <w:t xml:space="preserve"> </w:t>
      </w:r>
      <w:r>
        <w:rPr>
          <w:rFonts w:ascii="Times New Roman" w:hAnsi="Times New Roman"/>
        </w:rPr>
        <w:t xml:space="preserve"> </w:t>
      </w:r>
      <w:bookmarkStart w:id="0" w:name="_GoBack"/>
      <w:bookmarkEnd w:id="0"/>
      <w:r w:rsidRPr="002D7B69">
        <w:rPr>
          <w:rFonts w:ascii="Times New Roman" w:hAnsi="Times New Roman"/>
        </w:rPr>
        <w:t>筛选自交子代均表现抗虫性状的植株（</w:t>
      </w:r>
      <w:r w:rsidRPr="002D7B69">
        <w:rPr>
          <w:rFonts w:ascii="Times New Roman" w:hAnsi="Times New Roman"/>
        </w:rPr>
        <w:t>2</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3</w:t>
      </w:r>
      <w:r w:rsidRPr="002D7B69">
        <w:rPr>
          <w:rFonts w:ascii="Times New Roman" w:hAnsi="Times New Roman"/>
        </w:rPr>
        <w:t>）</w:t>
      </w:r>
      <w:r w:rsidRPr="002D7B69">
        <w:rPr>
          <w:rFonts w:ascii="Times New Roman" w:hAnsi="Times New Roman"/>
        </w:rPr>
        <w:t>BpH2</w:t>
      </w:r>
      <w:r w:rsidRPr="002D7B69">
        <w:rPr>
          <w:rFonts w:ascii="Times New Roman" w:hAnsi="Times New Roman"/>
        </w:rPr>
        <w:t>纯合或</w:t>
      </w:r>
      <w:r w:rsidRPr="002D7B69">
        <w:rPr>
          <w:rFonts w:ascii="Times New Roman" w:hAnsi="Times New Roman"/>
        </w:rPr>
        <w:t>BpH3</w:t>
      </w:r>
      <w:r w:rsidRPr="002D7B69">
        <w:rPr>
          <w:rFonts w:ascii="Times New Roman" w:hAnsi="Times New Roman"/>
        </w:rPr>
        <w:t>纯合或者</w:t>
      </w:r>
      <w:r w:rsidRPr="002D7B69">
        <w:rPr>
          <w:rFonts w:ascii="Times New Roman" w:hAnsi="Times New Roman"/>
        </w:rPr>
        <w:t>BpH2</w:t>
      </w:r>
      <w:r w:rsidRPr="002D7B69">
        <w:rPr>
          <w:rFonts w:ascii="Times New Roman" w:hAnsi="Times New Roman"/>
        </w:rPr>
        <w:t>与</w:t>
      </w:r>
      <w:r w:rsidRPr="002D7B69">
        <w:rPr>
          <w:rFonts w:ascii="Times New Roman" w:hAnsi="Times New Roman"/>
        </w:rPr>
        <w:t>BpH3</w:t>
      </w:r>
      <w:r w:rsidRPr="002D7B69">
        <w:rPr>
          <w:rFonts w:ascii="Times New Roman" w:hAnsi="Times New Roman"/>
        </w:rPr>
        <w:t>同时纯合（</w:t>
      </w:r>
      <w:r w:rsidRPr="002D7B69">
        <w:rPr>
          <w:rFonts w:ascii="Times New Roman" w:hAnsi="Times New Roman"/>
        </w:rPr>
        <w:t>2</w:t>
      </w:r>
      <w:r w:rsidRPr="002D7B69">
        <w:rPr>
          <w:rFonts w:ascii="Times New Roman" w:hAnsi="Times New Roman"/>
        </w:rPr>
        <w:t>分）</w:t>
      </w:r>
      <w:r w:rsidRPr="002D7B69">
        <w:rPr>
          <w:rFonts w:ascii="Times New Roman" w:hAnsi="Times New Roman"/>
        </w:rPr>
        <w:t>11/36</w:t>
      </w:r>
      <w:r w:rsidRPr="002D7B69">
        <w:rPr>
          <w:rFonts w:ascii="Times New Roman" w:hAnsi="Times New Roman"/>
        </w:rPr>
        <w:t>（</w:t>
      </w:r>
      <w:r w:rsidRPr="002D7B69">
        <w:rPr>
          <w:rFonts w:ascii="Times New Roman" w:hAnsi="Times New Roman"/>
        </w:rPr>
        <w:t>1</w:t>
      </w:r>
      <w:r w:rsidRPr="002D7B69">
        <w:rPr>
          <w:rFonts w:ascii="Times New Roman" w:hAnsi="Times New Roman"/>
        </w:rPr>
        <w:t>分）</w:t>
      </w:r>
    </w:p>
    <w:p w:rsidR="002B368A" w:rsidRPr="002D7B69" w:rsidP="002B368A">
      <w:pPr>
        <w:spacing w:line="288" w:lineRule="auto"/>
        <w:rPr>
          <w:rFonts w:ascii="Times New Roman" w:hAnsi="Times New Roman"/>
        </w:rPr>
      </w:pPr>
      <w:r w:rsidRPr="002D7B69">
        <w:rPr>
          <w:rFonts w:ascii="Times New Roman" w:hAnsi="Times New Roman"/>
        </w:rPr>
        <w:t>（</w:t>
      </w:r>
      <w:r w:rsidRPr="002D7B69">
        <w:rPr>
          <w:rFonts w:ascii="Times New Roman" w:hAnsi="Times New Roman"/>
        </w:rPr>
        <w:t>4</w:t>
      </w:r>
      <w:r w:rsidRPr="002D7B69">
        <w:rPr>
          <w:rFonts w:ascii="Times New Roman" w:hAnsi="Times New Roman"/>
        </w:rPr>
        <w:t>）将含有不同抗性基因的水稻品种进行杂交并筛选（或通过</w:t>
      </w:r>
      <w:r w:rsidRPr="002D7B69">
        <w:rPr>
          <w:rFonts w:ascii="Times New Roman" w:hAnsi="Times New Roman"/>
        </w:rPr>
        <w:t>PCR</w:t>
      </w:r>
      <w:r w:rsidRPr="002D7B69">
        <w:rPr>
          <w:rFonts w:ascii="Times New Roman" w:hAnsi="Times New Roman"/>
        </w:rPr>
        <w:t>技术获取不同种类的抗性基因后，转入同一水稻植株中）（</w:t>
      </w:r>
      <w:r w:rsidRPr="002D7B69">
        <w:rPr>
          <w:rFonts w:ascii="Times New Roman" w:hAnsi="Times New Roman"/>
        </w:rPr>
        <w:t>2</w:t>
      </w:r>
      <w:r w:rsidRPr="002D7B69">
        <w:rPr>
          <w:rFonts w:ascii="Times New Roman" w:hAnsi="Times New Roman"/>
        </w:rPr>
        <w:t>分）</w:t>
      </w:r>
    </w:p>
    <w:p w:rsidR="00447481" w:rsidRPr="002B368A" w:rsidP="001103ED">
      <w:pPr>
        <w:spacing w:line="288" w:lineRule="auto"/>
        <w:rPr>
          <w:rFonts w:ascii="Times New Roman" w:hAnsi="Times New Roman"/>
          <w:szCs w:val="21"/>
        </w:rPr>
      </w:pPr>
    </w:p>
    <w:sectPr w:rsidSect="00F24894">
      <w:pgSz w:w="11906" w:h="16838" w:code="9"/>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3958"/>
    <w:rsid w:val="000460FF"/>
    <w:rsid w:val="00051323"/>
    <w:rsid w:val="00054E7B"/>
    <w:rsid w:val="0008332B"/>
    <w:rsid w:val="000C671F"/>
    <w:rsid w:val="000E4D02"/>
    <w:rsid w:val="000E4FF1"/>
    <w:rsid w:val="001103ED"/>
    <w:rsid w:val="001177F3"/>
    <w:rsid w:val="0016238F"/>
    <w:rsid w:val="00171458"/>
    <w:rsid w:val="00173C1D"/>
    <w:rsid w:val="001764C3"/>
    <w:rsid w:val="0018010E"/>
    <w:rsid w:val="00191C29"/>
    <w:rsid w:val="001C63DA"/>
    <w:rsid w:val="001D0C6F"/>
    <w:rsid w:val="00201A7E"/>
    <w:rsid w:val="002021A0"/>
    <w:rsid w:val="00204526"/>
    <w:rsid w:val="00221FC9"/>
    <w:rsid w:val="002323D2"/>
    <w:rsid w:val="00244CEF"/>
    <w:rsid w:val="002457C2"/>
    <w:rsid w:val="00245E4D"/>
    <w:rsid w:val="002908F0"/>
    <w:rsid w:val="00294908"/>
    <w:rsid w:val="002A0E5D"/>
    <w:rsid w:val="002A1A21"/>
    <w:rsid w:val="002B368A"/>
    <w:rsid w:val="002D7B69"/>
    <w:rsid w:val="002E1E97"/>
    <w:rsid w:val="002F06B2"/>
    <w:rsid w:val="003102DB"/>
    <w:rsid w:val="003625C4"/>
    <w:rsid w:val="00373D0A"/>
    <w:rsid w:val="003B1712"/>
    <w:rsid w:val="003C4A95"/>
    <w:rsid w:val="003D0C09"/>
    <w:rsid w:val="003E3FE0"/>
    <w:rsid w:val="00405DB6"/>
    <w:rsid w:val="004062F6"/>
    <w:rsid w:val="004151FC"/>
    <w:rsid w:val="00430A44"/>
    <w:rsid w:val="00435F83"/>
    <w:rsid w:val="00444A46"/>
    <w:rsid w:val="00447481"/>
    <w:rsid w:val="0046214C"/>
    <w:rsid w:val="0049183B"/>
    <w:rsid w:val="004B44B5"/>
    <w:rsid w:val="004D44FD"/>
    <w:rsid w:val="005518CE"/>
    <w:rsid w:val="0059145F"/>
    <w:rsid w:val="00596076"/>
    <w:rsid w:val="005B39DB"/>
    <w:rsid w:val="005C2124"/>
    <w:rsid w:val="005C7B05"/>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257D8"/>
    <w:rsid w:val="00930692"/>
    <w:rsid w:val="009426BC"/>
    <w:rsid w:val="00974E0F"/>
    <w:rsid w:val="00982128"/>
    <w:rsid w:val="009A27BF"/>
    <w:rsid w:val="009B5666"/>
    <w:rsid w:val="009C4252"/>
    <w:rsid w:val="009F5E5A"/>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04DF9"/>
    <w:rsid w:val="00F21C80"/>
    <w:rsid w:val="00F24894"/>
    <w:rsid w:val="00F676FD"/>
    <w:rsid w:val="00F72514"/>
    <w:rsid w:val="00FA0107"/>
    <w:rsid w:val="00FA0944"/>
    <w:rsid w:val="00FA6947"/>
    <w:rsid w:val="00FB34D2"/>
    <w:rsid w:val="00FB40B7"/>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table" w:styleId="TableGrid">
    <w:name w:val="Table Grid"/>
    <w:basedOn w:val="TableNormal"/>
    <w:rsid w:val="002B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ECDA-CF84-47DC-9BB6-7E908421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1104</Words>
  <Characters>6293</Characters>
  <DocSecurity>0</DocSecurity>
  <Lines>52</Lines>
  <Paragraphs>14</Paragraphs>
  <ScaleCrop>false</ScaleCrop>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2024-11-18T21:37:00Z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