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0EC13">
      <w:pPr>
        <w:autoSpaceDE w:val="0"/>
        <w:autoSpaceDN w:val="0"/>
        <w:spacing w:before="20" w:line="440" w:lineRule="atLeast"/>
        <w:ind w:left="1260"/>
        <w:rPr>
          <w:sz w:val="24"/>
        </w:rPr>
      </w:pPr>
      <w:bookmarkStart w:id="0" w:name="_GoBack"/>
      <w:bookmarkEnd w:id="0"/>
      <w:r>
        <w:rPr>
          <w:rFonts w:ascii="宋体" w:hAnsi="宋体" w:eastAsia="宋体" w:cs="宋体"/>
          <w:color w:val="000000"/>
          <w:sz w:val="24"/>
        </w:rPr>
        <w:drawing>
          <wp:anchor distT="0" distB="0" distL="114300" distR="114300" simplePos="0" relativeHeight="251659264" behindDoc="0" locked="0" layoutInCell="1" allowOverlap="1">
            <wp:simplePos x="0" y="0"/>
            <wp:positionH relativeFrom="page">
              <wp:posOffset>10287000</wp:posOffset>
            </wp:positionH>
            <wp:positionV relativeFrom="topMargin">
              <wp:posOffset>11671300</wp:posOffset>
            </wp:positionV>
            <wp:extent cx="419100" cy="3302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419100" cy="330200"/>
                    </a:xfrm>
                    <a:prstGeom prst="rect">
                      <a:avLst/>
                    </a:prstGeom>
                  </pic:spPr>
                </pic:pic>
              </a:graphicData>
            </a:graphic>
          </wp:anchor>
        </w:drawing>
      </w:r>
      <w:r>
        <w:rPr>
          <w:rFonts w:ascii="宋体" w:hAnsi="宋体" w:eastAsia="宋体" w:cs="宋体"/>
          <w:color w:val="000000"/>
          <w:sz w:val="24"/>
        </w:rPr>
        <w:t>湖南师大附中2024——2025学年度高二第一学期期中考试</w:t>
      </w:r>
    </w:p>
    <w:p w14:paraId="530660BF">
      <w:pPr>
        <w:autoSpaceDE w:val="0"/>
        <w:autoSpaceDN w:val="0"/>
        <w:spacing w:before="120" w:line="340" w:lineRule="atLeast"/>
        <w:ind w:left="3380"/>
        <w:rPr>
          <w:sz w:val="22"/>
        </w:rPr>
      </w:pPr>
      <w:r>
        <w:rPr>
          <w:rFonts w:ascii="宋体" w:hAnsi="宋体" w:eastAsia="宋体" w:cs="宋体"/>
          <w:color w:val="000000"/>
          <w:sz w:val="22"/>
        </w:rPr>
        <w:t>历史参考答案</w:t>
      </w:r>
    </w:p>
    <w:p w14:paraId="43BC548A">
      <w:pPr>
        <w:autoSpaceDE w:val="0"/>
        <w:autoSpaceDN w:val="0"/>
        <w:spacing w:before="140" w:line="240" w:lineRule="atLeast"/>
        <w:rPr>
          <w:sz w:val="16"/>
        </w:rPr>
      </w:pPr>
      <w:r>
        <w:rPr>
          <w:rFonts w:ascii="宋体" w:hAnsi="宋体" w:eastAsia="宋体" w:cs="宋体"/>
          <w:color w:val="000000"/>
          <w:sz w:val="16"/>
        </w:rPr>
        <w:t>一、选择题(本题共16小题，每小题3分，共48分)</w:t>
      </w:r>
    </w:p>
    <w:p w14:paraId="342F7441">
      <w:pPr>
        <w:spacing w:line="120" w:lineRule="exact"/>
      </w:pPr>
    </w:p>
    <w:tbl>
      <w:tblPr>
        <w:tblStyle w:val="4"/>
        <w:tblW w:w="0" w:type="auto"/>
        <w:tblInd w:w="8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540"/>
        <w:gridCol w:w="400"/>
        <w:gridCol w:w="400"/>
        <w:gridCol w:w="400"/>
        <w:gridCol w:w="420"/>
        <w:gridCol w:w="400"/>
        <w:gridCol w:w="400"/>
        <w:gridCol w:w="400"/>
        <w:gridCol w:w="400"/>
        <w:gridCol w:w="420"/>
        <w:gridCol w:w="400"/>
        <w:gridCol w:w="420"/>
        <w:gridCol w:w="400"/>
        <w:gridCol w:w="400"/>
        <w:gridCol w:w="400"/>
        <w:gridCol w:w="400"/>
        <w:gridCol w:w="300"/>
      </w:tblGrid>
      <w:tr w14:paraId="0D57E55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80" w:hRule="atLeast"/>
        </w:trPr>
        <w:tc>
          <w:tcPr>
            <w:tcW w:w="540" w:type="dxa"/>
            <w:vAlign w:val="center"/>
          </w:tcPr>
          <w:p w14:paraId="525EBDED">
            <w:pPr>
              <w:autoSpaceDE w:val="0"/>
              <w:autoSpaceDN w:val="0"/>
              <w:spacing w:line="260" w:lineRule="atLeast"/>
              <w:jc w:val="center"/>
              <w:rPr>
                <w:sz w:val="18"/>
              </w:rPr>
            </w:pPr>
            <w:r>
              <w:rPr>
                <w:rFonts w:ascii="宋体" w:hAnsi="宋体" w:eastAsia="宋体" w:cs="宋体"/>
                <w:color w:val="000000"/>
                <w:sz w:val="18"/>
              </w:rPr>
              <w:t>题号</w:t>
            </w:r>
          </w:p>
        </w:tc>
        <w:tc>
          <w:tcPr>
            <w:tcW w:w="400" w:type="dxa"/>
            <w:vAlign w:val="center"/>
          </w:tcPr>
          <w:p w14:paraId="2584380A">
            <w:pPr>
              <w:autoSpaceDE w:val="0"/>
              <w:autoSpaceDN w:val="0"/>
              <w:spacing w:line="260" w:lineRule="atLeast"/>
              <w:jc w:val="center"/>
              <w:rPr>
                <w:sz w:val="18"/>
              </w:rPr>
            </w:pPr>
            <w:r>
              <w:rPr>
                <w:rFonts w:ascii="宋体" w:hAnsi="宋体" w:eastAsia="宋体" w:cs="宋体"/>
                <w:color w:val="000000"/>
                <w:sz w:val="18"/>
              </w:rPr>
              <w:t>1</w:t>
            </w:r>
          </w:p>
        </w:tc>
        <w:tc>
          <w:tcPr>
            <w:tcW w:w="400" w:type="dxa"/>
            <w:vAlign w:val="center"/>
          </w:tcPr>
          <w:p w14:paraId="041835A1">
            <w:pPr>
              <w:autoSpaceDE w:val="0"/>
              <w:autoSpaceDN w:val="0"/>
              <w:spacing w:line="320" w:lineRule="atLeast"/>
              <w:jc w:val="center"/>
              <w:rPr>
                <w:sz w:val="18"/>
              </w:rPr>
            </w:pPr>
            <w:r>
              <w:rPr>
                <w:rFonts w:ascii="宋体" w:hAnsi="宋体" w:eastAsia="宋体" w:cs="宋体"/>
                <w:color w:val="000000"/>
                <w:sz w:val="18"/>
              </w:rPr>
              <w:t>2</w:t>
            </w:r>
          </w:p>
        </w:tc>
        <w:tc>
          <w:tcPr>
            <w:tcW w:w="400" w:type="dxa"/>
            <w:vAlign w:val="center"/>
          </w:tcPr>
          <w:p w14:paraId="2AD41A6F">
            <w:pPr>
              <w:autoSpaceDE w:val="0"/>
              <w:autoSpaceDN w:val="0"/>
              <w:spacing w:line="320" w:lineRule="atLeast"/>
              <w:jc w:val="center"/>
              <w:rPr>
                <w:sz w:val="18"/>
              </w:rPr>
            </w:pPr>
            <w:r>
              <w:rPr>
                <w:rFonts w:ascii="宋体" w:hAnsi="宋体" w:eastAsia="宋体" w:cs="宋体"/>
                <w:color w:val="000000"/>
                <w:sz w:val="18"/>
              </w:rPr>
              <w:t>3</w:t>
            </w:r>
          </w:p>
        </w:tc>
        <w:tc>
          <w:tcPr>
            <w:tcW w:w="420" w:type="dxa"/>
            <w:vAlign w:val="center"/>
          </w:tcPr>
          <w:p w14:paraId="741A598E">
            <w:pPr>
              <w:autoSpaceDE w:val="0"/>
              <w:autoSpaceDN w:val="0"/>
              <w:spacing w:line="320" w:lineRule="atLeast"/>
              <w:jc w:val="center"/>
              <w:rPr>
                <w:sz w:val="18"/>
              </w:rPr>
            </w:pPr>
            <w:r>
              <w:rPr>
                <w:rFonts w:ascii="宋体" w:hAnsi="宋体" w:eastAsia="宋体" w:cs="宋体"/>
                <w:color w:val="000000"/>
                <w:sz w:val="18"/>
              </w:rPr>
              <w:t>4</w:t>
            </w:r>
          </w:p>
        </w:tc>
        <w:tc>
          <w:tcPr>
            <w:tcW w:w="400" w:type="dxa"/>
            <w:vAlign w:val="center"/>
          </w:tcPr>
          <w:p w14:paraId="66086F6C">
            <w:pPr>
              <w:autoSpaceDE w:val="0"/>
              <w:autoSpaceDN w:val="0"/>
              <w:spacing w:line="320" w:lineRule="atLeast"/>
              <w:jc w:val="center"/>
              <w:rPr>
                <w:sz w:val="18"/>
              </w:rPr>
            </w:pPr>
            <w:r>
              <w:rPr>
                <w:rFonts w:ascii="宋体" w:hAnsi="宋体" w:eastAsia="宋体" w:cs="宋体"/>
                <w:color w:val="000000"/>
                <w:sz w:val="18"/>
              </w:rPr>
              <w:t>5</w:t>
            </w:r>
          </w:p>
        </w:tc>
        <w:tc>
          <w:tcPr>
            <w:tcW w:w="400" w:type="dxa"/>
            <w:vAlign w:val="center"/>
          </w:tcPr>
          <w:p w14:paraId="71C79B54">
            <w:pPr>
              <w:autoSpaceDE w:val="0"/>
              <w:autoSpaceDN w:val="0"/>
              <w:spacing w:line="320" w:lineRule="atLeast"/>
              <w:jc w:val="center"/>
              <w:rPr>
                <w:sz w:val="18"/>
              </w:rPr>
            </w:pPr>
            <w:r>
              <w:rPr>
                <w:rFonts w:ascii="宋体" w:hAnsi="宋体" w:eastAsia="宋体" w:cs="宋体"/>
                <w:color w:val="000000"/>
                <w:sz w:val="18"/>
              </w:rPr>
              <w:t>6</w:t>
            </w:r>
          </w:p>
        </w:tc>
        <w:tc>
          <w:tcPr>
            <w:tcW w:w="400" w:type="dxa"/>
            <w:vAlign w:val="center"/>
          </w:tcPr>
          <w:p w14:paraId="65E7D02C">
            <w:pPr>
              <w:autoSpaceDE w:val="0"/>
              <w:autoSpaceDN w:val="0"/>
              <w:spacing w:line="320" w:lineRule="atLeast"/>
              <w:jc w:val="center"/>
              <w:rPr>
                <w:sz w:val="18"/>
              </w:rPr>
            </w:pPr>
            <w:r>
              <w:rPr>
                <w:rFonts w:ascii="宋体" w:hAnsi="宋体" w:eastAsia="宋体" w:cs="宋体"/>
                <w:color w:val="000000"/>
                <w:sz w:val="18"/>
              </w:rPr>
              <w:t>7</w:t>
            </w:r>
          </w:p>
        </w:tc>
        <w:tc>
          <w:tcPr>
            <w:tcW w:w="400" w:type="dxa"/>
            <w:vAlign w:val="center"/>
          </w:tcPr>
          <w:p w14:paraId="66BAA2C0">
            <w:pPr>
              <w:autoSpaceDE w:val="0"/>
              <w:autoSpaceDN w:val="0"/>
              <w:spacing w:line="320" w:lineRule="atLeast"/>
              <w:jc w:val="center"/>
              <w:rPr>
                <w:sz w:val="18"/>
              </w:rPr>
            </w:pPr>
            <w:r>
              <w:rPr>
                <w:rFonts w:ascii="宋体" w:hAnsi="宋体" w:eastAsia="宋体" w:cs="宋体"/>
                <w:color w:val="000000"/>
                <w:sz w:val="18"/>
              </w:rPr>
              <w:t>8</w:t>
            </w:r>
          </w:p>
        </w:tc>
        <w:tc>
          <w:tcPr>
            <w:tcW w:w="420" w:type="dxa"/>
            <w:vAlign w:val="center"/>
          </w:tcPr>
          <w:p w14:paraId="02AEC019">
            <w:pPr>
              <w:autoSpaceDE w:val="0"/>
              <w:autoSpaceDN w:val="0"/>
              <w:spacing w:line="320" w:lineRule="atLeast"/>
              <w:jc w:val="center"/>
              <w:rPr>
                <w:sz w:val="18"/>
              </w:rPr>
            </w:pPr>
            <w:r>
              <w:rPr>
                <w:rFonts w:ascii="宋体" w:hAnsi="宋体" w:eastAsia="宋体" w:cs="宋体"/>
                <w:color w:val="000000"/>
                <w:sz w:val="18"/>
              </w:rPr>
              <w:t>9</w:t>
            </w:r>
          </w:p>
        </w:tc>
        <w:tc>
          <w:tcPr>
            <w:tcW w:w="400" w:type="dxa"/>
            <w:vAlign w:val="center"/>
          </w:tcPr>
          <w:p w14:paraId="731D8813">
            <w:pPr>
              <w:autoSpaceDE w:val="0"/>
              <w:autoSpaceDN w:val="0"/>
              <w:spacing w:line="320" w:lineRule="atLeast"/>
              <w:rPr>
                <w:sz w:val="18"/>
              </w:rPr>
            </w:pPr>
            <w:r>
              <w:rPr>
                <w:rFonts w:ascii="宋体" w:hAnsi="宋体" w:eastAsia="宋体" w:cs="宋体"/>
                <w:color w:val="000000"/>
                <w:sz w:val="18"/>
              </w:rPr>
              <w:t>10</w:t>
            </w:r>
          </w:p>
        </w:tc>
        <w:tc>
          <w:tcPr>
            <w:tcW w:w="420" w:type="dxa"/>
            <w:vAlign w:val="center"/>
          </w:tcPr>
          <w:p w14:paraId="2430A0DE">
            <w:pPr>
              <w:autoSpaceDE w:val="0"/>
              <w:autoSpaceDN w:val="0"/>
              <w:spacing w:line="320" w:lineRule="atLeast"/>
              <w:jc w:val="center"/>
              <w:rPr>
                <w:sz w:val="18"/>
              </w:rPr>
            </w:pPr>
            <w:r>
              <w:rPr>
                <w:rFonts w:ascii="宋体" w:hAnsi="宋体" w:eastAsia="宋体" w:cs="宋体"/>
                <w:color w:val="000000"/>
                <w:sz w:val="18"/>
              </w:rPr>
              <w:t>11</w:t>
            </w:r>
          </w:p>
        </w:tc>
        <w:tc>
          <w:tcPr>
            <w:tcW w:w="400" w:type="dxa"/>
            <w:vAlign w:val="center"/>
          </w:tcPr>
          <w:p w14:paraId="505CC418">
            <w:pPr>
              <w:autoSpaceDE w:val="0"/>
              <w:autoSpaceDN w:val="0"/>
              <w:spacing w:line="320" w:lineRule="atLeast"/>
              <w:jc w:val="center"/>
              <w:rPr>
                <w:sz w:val="18"/>
              </w:rPr>
            </w:pPr>
            <w:r>
              <w:rPr>
                <w:rFonts w:ascii="宋体" w:hAnsi="宋体" w:eastAsia="宋体" w:cs="宋体"/>
                <w:color w:val="000000"/>
                <w:sz w:val="18"/>
              </w:rPr>
              <w:t>12</w:t>
            </w:r>
          </w:p>
        </w:tc>
        <w:tc>
          <w:tcPr>
            <w:tcW w:w="400" w:type="dxa"/>
            <w:vAlign w:val="center"/>
          </w:tcPr>
          <w:p w14:paraId="10311F83">
            <w:pPr>
              <w:autoSpaceDE w:val="0"/>
              <w:autoSpaceDN w:val="0"/>
              <w:spacing w:line="320" w:lineRule="atLeast"/>
              <w:rPr>
                <w:sz w:val="18"/>
              </w:rPr>
            </w:pPr>
            <w:r>
              <w:rPr>
                <w:rFonts w:ascii="宋体" w:hAnsi="宋体" w:eastAsia="宋体" w:cs="宋体"/>
                <w:color w:val="000000"/>
                <w:sz w:val="18"/>
              </w:rPr>
              <w:t>13</w:t>
            </w:r>
          </w:p>
        </w:tc>
        <w:tc>
          <w:tcPr>
            <w:tcW w:w="400" w:type="dxa"/>
            <w:vAlign w:val="center"/>
          </w:tcPr>
          <w:p w14:paraId="2606E5AA">
            <w:pPr>
              <w:autoSpaceDE w:val="0"/>
              <w:autoSpaceDN w:val="0"/>
              <w:spacing w:line="320" w:lineRule="atLeast"/>
              <w:rPr>
                <w:sz w:val="18"/>
              </w:rPr>
            </w:pPr>
            <w:r>
              <w:rPr>
                <w:rFonts w:ascii="宋体" w:hAnsi="宋体" w:eastAsia="宋体" w:cs="宋体"/>
                <w:color w:val="000000"/>
                <w:sz w:val="18"/>
              </w:rPr>
              <w:t>14</w:t>
            </w:r>
          </w:p>
        </w:tc>
        <w:tc>
          <w:tcPr>
            <w:tcW w:w="400" w:type="dxa"/>
            <w:vAlign w:val="center"/>
          </w:tcPr>
          <w:p w14:paraId="27C104B5">
            <w:pPr>
              <w:autoSpaceDE w:val="0"/>
              <w:autoSpaceDN w:val="0"/>
              <w:spacing w:line="320" w:lineRule="atLeast"/>
              <w:rPr>
                <w:sz w:val="18"/>
              </w:rPr>
            </w:pPr>
            <w:r>
              <w:rPr>
                <w:rFonts w:ascii="宋体" w:hAnsi="宋体" w:eastAsia="宋体" w:cs="宋体"/>
                <w:color w:val="000000"/>
                <w:sz w:val="18"/>
              </w:rPr>
              <w:t>15</w:t>
            </w:r>
          </w:p>
        </w:tc>
        <w:tc>
          <w:tcPr>
            <w:tcW w:w="300" w:type="dxa"/>
            <w:vAlign w:val="center"/>
          </w:tcPr>
          <w:p w14:paraId="69BAAABA">
            <w:pPr>
              <w:autoSpaceDE w:val="0"/>
              <w:autoSpaceDN w:val="0"/>
              <w:spacing w:line="320" w:lineRule="atLeast"/>
              <w:rPr>
                <w:sz w:val="18"/>
              </w:rPr>
            </w:pPr>
            <w:r>
              <w:rPr>
                <w:rFonts w:ascii="宋体" w:hAnsi="宋体" w:eastAsia="宋体" w:cs="宋体"/>
                <w:color w:val="000000"/>
                <w:sz w:val="18"/>
              </w:rPr>
              <w:t>16</w:t>
            </w:r>
          </w:p>
        </w:tc>
      </w:tr>
      <w:tr w14:paraId="1E7874F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60" w:hRule="atLeast"/>
        </w:trPr>
        <w:tc>
          <w:tcPr>
            <w:tcW w:w="540" w:type="dxa"/>
            <w:vAlign w:val="center"/>
          </w:tcPr>
          <w:p w14:paraId="6C046583">
            <w:pPr>
              <w:autoSpaceDE w:val="0"/>
              <w:autoSpaceDN w:val="0"/>
              <w:spacing w:line="260" w:lineRule="atLeast"/>
              <w:jc w:val="center"/>
              <w:rPr>
                <w:sz w:val="18"/>
              </w:rPr>
            </w:pPr>
            <w:r>
              <w:rPr>
                <w:rFonts w:ascii="宋体" w:hAnsi="宋体" w:eastAsia="宋体" w:cs="宋体"/>
                <w:color w:val="000000"/>
                <w:sz w:val="18"/>
              </w:rPr>
              <w:t>答案</w:t>
            </w:r>
          </w:p>
        </w:tc>
        <w:tc>
          <w:tcPr>
            <w:tcW w:w="400" w:type="dxa"/>
            <w:vAlign w:val="center"/>
          </w:tcPr>
          <w:p w14:paraId="748862A9">
            <w:pPr>
              <w:autoSpaceDE w:val="0"/>
              <w:autoSpaceDN w:val="0"/>
              <w:spacing w:line="260" w:lineRule="atLeast"/>
              <w:jc w:val="center"/>
              <w:rPr>
                <w:sz w:val="18"/>
              </w:rPr>
            </w:pPr>
            <w:r>
              <w:rPr>
                <w:rFonts w:ascii="宋体" w:hAnsi="宋体" w:eastAsia="宋体" w:cs="宋体"/>
                <w:color w:val="000000"/>
                <w:sz w:val="18"/>
              </w:rPr>
              <w:t>A</w:t>
            </w:r>
          </w:p>
        </w:tc>
        <w:tc>
          <w:tcPr>
            <w:tcW w:w="400" w:type="dxa"/>
            <w:vAlign w:val="center"/>
          </w:tcPr>
          <w:p w14:paraId="7AFF0A13">
            <w:pPr>
              <w:autoSpaceDE w:val="0"/>
              <w:autoSpaceDN w:val="0"/>
              <w:spacing w:line="260" w:lineRule="atLeast"/>
              <w:jc w:val="center"/>
              <w:rPr>
                <w:sz w:val="18"/>
              </w:rPr>
            </w:pPr>
            <w:r>
              <w:rPr>
                <w:rFonts w:ascii="宋体" w:hAnsi="宋体" w:eastAsia="宋体" w:cs="宋体"/>
                <w:color w:val="000000"/>
                <w:sz w:val="18"/>
              </w:rPr>
              <w:t>C</w:t>
            </w:r>
          </w:p>
        </w:tc>
        <w:tc>
          <w:tcPr>
            <w:tcW w:w="400" w:type="dxa"/>
            <w:vAlign w:val="center"/>
          </w:tcPr>
          <w:p w14:paraId="1C3A931C">
            <w:pPr>
              <w:autoSpaceDE w:val="0"/>
              <w:autoSpaceDN w:val="0"/>
              <w:spacing w:line="260" w:lineRule="atLeast"/>
              <w:jc w:val="center"/>
              <w:rPr>
                <w:sz w:val="18"/>
              </w:rPr>
            </w:pPr>
            <w:r>
              <w:rPr>
                <w:rFonts w:ascii="宋体" w:hAnsi="宋体" w:eastAsia="宋体" w:cs="宋体"/>
                <w:color w:val="000000"/>
                <w:sz w:val="18"/>
              </w:rPr>
              <w:t>C</w:t>
            </w:r>
          </w:p>
        </w:tc>
        <w:tc>
          <w:tcPr>
            <w:tcW w:w="420" w:type="dxa"/>
            <w:vAlign w:val="center"/>
          </w:tcPr>
          <w:p w14:paraId="10C91272">
            <w:pPr>
              <w:autoSpaceDE w:val="0"/>
              <w:autoSpaceDN w:val="0"/>
              <w:spacing w:line="260" w:lineRule="atLeast"/>
              <w:jc w:val="center"/>
              <w:rPr>
                <w:sz w:val="18"/>
              </w:rPr>
            </w:pPr>
            <w:r>
              <w:rPr>
                <w:rFonts w:ascii="宋体" w:hAnsi="宋体" w:eastAsia="宋体" w:cs="宋体"/>
                <w:color w:val="000000"/>
                <w:sz w:val="18"/>
              </w:rPr>
              <w:t>B</w:t>
            </w:r>
          </w:p>
        </w:tc>
        <w:tc>
          <w:tcPr>
            <w:tcW w:w="400" w:type="dxa"/>
            <w:vAlign w:val="center"/>
          </w:tcPr>
          <w:p w14:paraId="4C8F2E1F">
            <w:pPr>
              <w:autoSpaceDE w:val="0"/>
              <w:autoSpaceDN w:val="0"/>
              <w:spacing w:line="260" w:lineRule="atLeast"/>
              <w:jc w:val="center"/>
              <w:rPr>
                <w:sz w:val="18"/>
              </w:rPr>
            </w:pPr>
            <w:r>
              <w:rPr>
                <w:rFonts w:ascii="宋体" w:hAnsi="宋体" w:eastAsia="宋体" w:cs="宋体"/>
                <w:color w:val="000000"/>
                <w:sz w:val="18"/>
              </w:rPr>
              <w:t>D</w:t>
            </w:r>
          </w:p>
        </w:tc>
        <w:tc>
          <w:tcPr>
            <w:tcW w:w="400" w:type="dxa"/>
            <w:vAlign w:val="center"/>
          </w:tcPr>
          <w:p w14:paraId="1A73B384">
            <w:pPr>
              <w:autoSpaceDE w:val="0"/>
              <w:autoSpaceDN w:val="0"/>
              <w:spacing w:line="260" w:lineRule="atLeast"/>
              <w:jc w:val="center"/>
              <w:rPr>
                <w:sz w:val="18"/>
              </w:rPr>
            </w:pPr>
            <w:r>
              <w:rPr>
                <w:rFonts w:ascii="宋体" w:hAnsi="宋体" w:eastAsia="宋体" w:cs="宋体"/>
                <w:color w:val="000000"/>
                <w:sz w:val="18"/>
              </w:rPr>
              <w:t>D</w:t>
            </w:r>
          </w:p>
        </w:tc>
        <w:tc>
          <w:tcPr>
            <w:tcW w:w="400" w:type="dxa"/>
            <w:vAlign w:val="center"/>
          </w:tcPr>
          <w:p w14:paraId="3CE943E4">
            <w:pPr>
              <w:autoSpaceDE w:val="0"/>
              <w:autoSpaceDN w:val="0"/>
              <w:spacing w:line="260" w:lineRule="atLeast"/>
              <w:jc w:val="center"/>
              <w:rPr>
                <w:sz w:val="18"/>
              </w:rPr>
            </w:pPr>
            <w:r>
              <w:rPr>
                <w:rFonts w:ascii="宋体" w:hAnsi="宋体" w:eastAsia="宋体" w:cs="宋体"/>
                <w:color w:val="000000"/>
                <w:sz w:val="18"/>
              </w:rPr>
              <w:t>C</w:t>
            </w:r>
          </w:p>
        </w:tc>
        <w:tc>
          <w:tcPr>
            <w:tcW w:w="400" w:type="dxa"/>
            <w:vAlign w:val="center"/>
          </w:tcPr>
          <w:p w14:paraId="1F3F750A">
            <w:pPr>
              <w:autoSpaceDE w:val="0"/>
              <w:autoSpaceDN w:val="0"/>
              <w:spacing w:line="260" w:lineRule="atLeast"/>
              <w:jc w:val="center"/>
              <w:rPr>
                <w:sz w:val="18"/>
              </w:rPr>
            </w:pPr>
            <w:r>
              <w:rPr>
                <w:rFonts w:ascii="宋体" w:hAnsi="宋体" w:eastAsia="宋体" w:cs="宋体"/>
                <w:color w:val="000000"/>
                <w:sz w:val="18"/>
              </w:rPr>
              <w:t>A</w:t>
            </w:r>
          </w:p>
        </w:tc>
        <w:tc>
          <w:tcPr>
            <w:tcW w:w="420" w:type="dxa"/>
            <w:vAlign w:val="center"/>
          </w:tcPr>
          <w:p w14:paraId="024FFD2F">
            <w:pPr>
              <w:autoSpaceDE w:val="0"/>
              <w:autoSpaceDN w:val="0"/>
              <w:spacing w:line="260" w:lineRule="atLeast"/>
              <w:jc w:val="center"/>
              <w:rPr>
                <w:sz w:val="18"/>
              </w:rPr>
            </w:pPr>
            <w:r>
              <w:rPr>
                <w:rFonts w:ascii="宋体" w:hAnsi="宋体" w:eastAsia="宋体" w:cs="宋体"/>
                <w:color w:val="000000"/>
                <w:sz w:val="18"/>
              </w:rPr>
              <w:t>C</w:t>
            </w:r>
          </w:p>
        </w:tc>
        <w:tc>
          <w:tcPr>
            <w:tcW w:w="400" w:type="dxa"/>
            <w:vAlign w:val="center"/>
          </w:tcPr>
          <w:p w14:paraId="061A51E9">
            <w:pPr>
              <w:autoSpaceDE w:val="0"/>
              <w:autoSpaceDN w:val="0"/>
              <w:spacing w:line="260" w:lineRule="atLeast"/>
              <w:rPr>
                <w:sz w:val="18"/>
              </w:rPr>
            </w:pPr>
            <w:r>
              <w:rPr>
                <w:rFonts w:ascii="宋体" w:hAnsi="宋体" w:eastAsia="宋体" w:cs="宋体"/>
                <w:color w:val="000000"/>
                <w:sz w:val="18"/>
              </w:rPr>
              <w:t>D</w:t>
            </w:r>
          </w:p>
        </w:tc>
        <w:tc>
          <w:tcPr>
            <w:tcW w:w="420" w:type="dxa"/>
            <w:vAlign w:val="center"/>
          </w:tcPr>
          <w:p w14:paraId="3E213705">
            <w:pPr>
              <w:autoSpaceDE w:val="0"/>
              <w:autoSpaceDN w:val="0"/>
              <w:spacing w:line="260" w:lineRule="atLeast"/>
              <w:jc w:val="center"/>
              <w:rPr>
                <w:sz w:val="18"/>
              </w:rPr>
            </w:pPr>
            <w:r>
              <w:rPr>
                <w:rFonts w:ascii="宋体" w:hAnsi="宋体" w:eastAsia="宋体" w:cs="宋体"/>
                <w:color w:val="000000"/>
                <w:sz w:val="18"/>
              </w:rPr>
              <w:t>B</w:t>
            </w:r>
          </w:p>
        </w:tc>
        <w:tc>
          <w:tcPr>
            <w:tcW w:w="400" w:type="dxa"/>
            <w:vAlign w:val="center"/>
          </w:tcPr>
          <w:p w14:paraId="052E2ED6">
            <w:pPr>
              <w:autoSpaceDE w:val="0"/>
              <w:autoSpaceDN w:val="0"/>
              <w:spacing w:line="260" w:lineRule="atLeast"/>
              <w:jc w:val="center"/>
              <w:rPr>
                <w:sz w:val="18"/>
              </w:rPr>
            </w:pPr>
            <w:r>
              <w:rPr>
                <w:rFonts w:ascii="宋体" w:hAnsi="宋体" w:eastAsia="宋体" w:cs="宋体"/>
                <w:color w:val="000000"/>
                <w:sz w:val="18"/>
              </w:rPr>
              <w:t>A</w:t>
            </w:r>
          </w:p>
        </w:tc>
        <w:tc>
          <w:tcPr>
            <w:tcW w:w="400" w:type="dxa"/>
            <w:vAlign w:val="center"/>
          </w:tcPr>
          <w:p w14:paraId="60083D61">
            <w:pPr>
              <w:autoSpaceDE w:val="0"/>
              <w:autoSpaceDN w:val="0"/>
              <w:spacing w:line="260" w:lineRule="atLeast"/>
              <w:rPr>
                <w:sz w:val="18"/>
              </w:rPr>
            </w:pPr>
            <w:r>
              <w:rPr>
                <w:rFonts w:ascii="宋体" w:hAnsi="宋体" w:eastAsia="宋体" w:cs="宋体"/>
                <w:color w:val="000000"/>
                <w:sz w:val="18"/>
              </w:rPr>
              <w:t>B</w:t>
            </w:r>
          </w:p>
        </w:tc>
        <w:tc>
          <w:tcPr>
            <w:tcW w:w="400" w:type="dxa"/>
            <w:vAlign w:val="center"/>
          </w:tcPr>
          <w:p w14:paraId="63790A5D">
            <w:pPr>
              <w:autoSpaceDE w:val="0"/>
              <w:autoSpaceDN w:val="0"/>
              <w:spacing w:line="260" w:lineRule="atLeast"/>
              <w:rPr>
                <w:sz w:val="18"/>
              </w:rPr>
            </w:pPr>
            <w:r>
              <w:rPr>
                <w:rFonts w:ascii="宋体" w:hAnsi="宋体" w:eastAsia="宋体" w:cs="宋体"/>
                <w:color w:val="000000"/>
                <w:sz w:val="18"/>
              </w:rPr>
              <w:t>D</w:t>
            </w:r>
          </w:p>
        </w:tc>
        <w:tc>
          <w:tcPr>
            <w:tcW w:w="400" w:type="dxa"/>
            <w:vAlign w:val="center"/>
          </w:tcPr>
          <w:p w14:paraId="609A5B2F">
            <w:pPr>
              <w:autoSpaceDE w:val="0"/>
              <w:autoSpaceDN w:val="0"/>
              <w:spacing w:line="260" w:lineRule="atLeast"/>
              <w:rPr>
                <w:sz w:val="18"/>
              </w:rPr>
            </w:pPr>
            <w:r>
              <w:rPr>
                <w:rFonts w:ascii="宋体" w:hAnsi="宋体" w:eastAsia="宋体" w:cs="宋体"/>
                <w:color w:val="000000"/>
                <w:sz w:val="18"/>
              </w:rPr>
              <w:t>A</w:t>
            </w:r>
          </w:p>
        </w:tc>
        <w:tc>
          <w:tcPr>
            <w:tcW w:w="300" w:type="dxa"/>
            <w:vAlign w:val="center"/>
          </w:tcPr>
          <w:p w14:paraId="0C111E56">
            <w:pPr>
              <w:autoSpaceDE w:val="0"/>
              <w:autoSpaceDN w:val="0"/>
              <w:spacing w:line="260" w:lineRule="atLeast"/>
              <w:rPr>
                <w:sz w:val="18"/>
              </w:rPr>
            </w:pPr>
            <w:r>
              <w:rPr>
                <w:rFonts w:ascii="宋体" w:hAnsi="宋体" w:eastAsia="宋体" w:cs="宋体"/>
                <w:color w:val="000000"/>
                <w:sz w:val="18"/>
              </w:rPr>
              <w:t>C</w:t>
            </w:r>
          </w:p>
        </w:tc>
      </w:tr>
    </w:tbl>
    <w:p w14:paraId="5F21CFEC">
      <w:pPr>
        <w:autoSpaceDE w:val="0"/>
        <w:autoSpaceDN w:val="0"/>
        <w:spacing w:before="40" w:line="284" w:lineRule="atLeast"/>
        <w:rPr>
          <w:sz w:val="16"/>
        </w:rPr>
      </w:pPr>
      <w:r>
        <w:rPr>
          <w:rFonts w:ascii="宋体" w:hAnsi="宋体" w:eastAsia="宋体" w:cs="宋体"/>
          <w:color w:val="000000"/>
          <w:sz w:val="16"/>
        </w:rPr>
        <w:t>1. A  【解析】根据材料“天命靡常”“以德配天”可知，西周统治者在吸取商朝灭亡的历史教训中，看到社会民众的强大力量，认识到“天命靡常”的道理，提出“以德配天”“敬德保民”的教化思想，其中蕴含了一定的民本色彩，故选A项；早期国家政治领域弥漫着神权意识，材料“以德配天”体现了对德的重视，“神权意识”无法解释材料中的“变化”，排除B项；“传统天命观走向衰落”的说法错误，排除C项；皇帝制度出现于秦朝，且材料信息与皇帝制度没有直接关系，排除D项。</w:t>
      </w:r>
    </w:p>
    <w:p w14:paraId="0FBC23FC">
      <w:pPr>
        <w:autoSpaceDE w:val="0"/>
        <w:autoSpaceDN w:val="0"/>
        <w:spacing w:before="20" w:line="285" w:lineRule="atLeast"/>
        <w:rPr>
          <w:sz w:val="16"/>
        </w:rPr>
      </w:pPr>
      <w:r>
        <w:rPr>
          <w:rFonts w:ascii="宋体" w:hAnsi="宋体" w:eastAsia="宋体" w:cs="宋体"/>
          <w:color w:val="000000"/>
          <w:sz w:val="16"/>
        </w:rPr>
        <w:t>2. C  【解析】根据题干信息，秦王朝“上农除末”，严厉打击中小商人，反映了秦朝重视农业生产，巩固国家的统治基础，工商业者乌氏馃“比封君，以时与列臣朝请”，反映出秦朝给予经济实力雄厚的大商人较高的政治地位，由此说明秦朝政府的商业措施既巩固了本业，又发展了商业，为封建统治奠定了经济基础，所以材料信息表明泰朝政府的这些措施是为加强集权统治服务的，故选C项：“上农除末”保护了小农经济，礼遇大商人，促进了商业发展，都有利于维护封建统治，二者并不矛盾，排除A项；泰朝重农抑商、礼遇富商，有利于强化市场管理，规范市场秩序，促进商品经济发展，所以“工商业的发展严重受挫”表述不准确，排除B项；材料信息反映“上农除末”，保护了农业劳动力，巩固了国家的经济基础，重视和礼遇大商人，有利于调动他们的积极性，扩大了统治基础，反映出秦朝实行了灵活的商业政策，而不是重农抑商政策执行灵活，排除D项。</w:t>
      </w:r>
    </w:p>
    <w:p w14:paraId="70CFE613">
      <w:pPr>
        <w:autoSpaceDE w:val="0"/>
        <w:autoSpaceDN w:val="0"/>
        <w:spacing w:before="40" w:line="285" w:lineRule="atLeast"/>
        <w:rPr>
          <w:sz w:val="16"/>
        </w:rPr>
      </w:pPr>
      <w:r>
        <w:rPr>
          <w:rFonts w:ascii="宋体" w:hAnsi="宋体" w:eastAsia="宋体" w:cs="宋体"/>
          <w:color w:val="000000"/>
          <w:sz w:val="16"/>
        </w:rPr>
        <w:t>3. C  【解析】根据材料“乡党舆论逐渐被官僚家族(同时又是豪强)所支配”可知，东汉时期，随着地方豪族势力的发展，乡党舆论逐渐被官僚家族所支配，这导致地方豪族掌握选官权，门第族望成为选官的主要依据，故选C项；材料虽强调地方豪族势力的发展，但地方长官仍有推荐人才的权力，排除A项；门阀政治的逐渐形成是在东晋时期，排除B</w:t>
      </w:r>
      <w:r>
        <w:rPr>
          <w:rFonts w:ascii="宋体" w:hAnsi="宋体" w:eastAsia="宋体" w:cs="宋体"/>
          <w:sz w:val="16"/>
        </w:rPr>
        <w:t xml:space="preserve"> </w:t>
      </w:r>
      <w:r>
        <w:rPr>
          <w:rFonts w:ascii="宋体" w:hAnsi="宋体" w:eastAsia="宋体" w:cs="宋体"/>
          <w:color w:val="000000"/>
          <w:sz w:val="16"/>
        </w:rPr>
        <w:t>项；根据所学可知，曹魏时期创立了九品中正制，与“东汉时期”不符，排除D项。</w:t>
      </w:r>
    </w:p>
    <w:p w14:paraId="09681FB5">
      <w:pPr>
        <w:autoSpaceDE w:val="0"/>
        <w:autoSpaceDN w:val="0"/>
        <w:spacing w:before="20" w:line="280" w:lineRule="atLeast"/>
        <w:rPr>
          <w:sz w:val="16"/>
        </w:rPr>
      </w:pPr>
      <w:r>
        <w:rPr>
          <w:rFonts w:ascii="宋体" w:hAnsi="宋体" w:eastAsia="宋体" w:cs="宋体"/>
          <w:color w:val="000000"/>
          <w:sz w:val="16"/>
        </w:rPr>
        <w:t>4. B  【解析】由“周代后统治者都立嫡长子，可以杜绝庶子的不良用心”“唐太宗最终接受了魏征的意见”可得，魏征用礼法不合来说明皇帝与亲王之间应该有礼仪方面的区别，目的是通过区别对待皇帝与亲王的礼仪，防止统治集团内部争权夺利的斗争，强调要保持政权和政局的稳定性，故选B项；题千所述并不是亲王与大臣之间的矛盾，而是皇帝与亲王之间的等级关系，排除A项；题干所述是统治集团内部的礼仪关系问题，而不是国家统一的问题，排除C项；题干只是涉及儒家礼制对亲王礼仪的影响，并未涉及儒家思想对法律的影响，所以单凭题干信息并不能得出礼法结合趋势加强的结论，排除D项。</w:t>
      </w:r>
    </w:p>
    <w:p w14:paraId="0E1F96A4">
      <w:pPr>
        <w:autoSpaceDE w:val="0"/>
        <w:autoSpaceDN w:val="0"/>
        <w:spacing w:before="340" w:line="288" w:lineRule="atLeast"/>
        <w:ind w:left="200"/>
        <w:rPr>
          <w:sz w:val="16"/>
        </w:rPr>
      </w:pPr>
      <w:r>
        <w:rPr>
          <w:rFonts w:ascii="宋体" w:hAnsi="宋体" w:eastAsia="宋体" w:cs="宋体"/>
          <w:color w:val="000000"/>
          <w:sz w:val="16"/>
        </w:rPr>
        <w:t>比，在边疆治理上，更有利于加强中央对地方的管理，提升边疆治理效能，促进统一多民族国家的发展，故选D项；羁磨政策之下，边疆地区虽然有较大的自主权，但是在政治上仍隶属中央，经济上有朝贡的义务，排除A项；土官制度是中央在少数民族地区设立的地方政权组织形式，仅凭少数民族治理情况无法得出元朝基层治理能力得到提高的结论，排除B项；材料没有体现“土官制度”施行地区民族交流融合的情况，无法判断土官制度是否促进了民族融合，排除C项。</w:t>
      </w:r>
    </w:p>
    <w:p w14:paraId="38A2EE68">
      <w:pPr>
        <w:autoSpaceDE w:val="0"/>
        <w:autoSpaceDN w:val="0"/>
        <w:spacing w:before="20" w:line="280" w:lineRule="atLeast"/>
        <w:rPr>
          <w:sz w:val="16"/>
        </w:rPr>
      </w:pPr>
      <w:r>
        <w:rPr>
          <w:rFonts w:ascii="宋体" w:hAnsi="宋体" w:eastAsia="宋体" w:cs="宋体"/>
          <w:color w:val="000000"/>
          <w:sz w:val="16"/>
        </w:rPr>
        <w:t>6. D  【解析】根据题千可知，明朝中后期采取了较为灵活务实的经济政策，对于国家治理的效能起到提升作用，故选D</w:t>
      </w:r>
      <w:r>
        <w:rPr>
          <w:rFonts w:ascii="宋体" w:hAnsi="宋体" w:eastAsia="宋体" w:cs="宋体"/>
          <w:sz w:val="16"/>
        </w:rPr>
        <w:t xml:space="preserve"> </w:t>
      </w:r>
      <w:r>
        <w:rPr>
          <w:rFonts w:ascii="宋体" w:hAnsi="宋体" w:eastAsia="宋体" w:cs="宋体"/>
          <w:color w:val="000000"/>
          <w:sz w:val="16"/>
        </w:rPr>
        <w:t>项；题干说的是政府的做法，可能会促进社会经济的增长，但二者不是必然关系，排除A项；B项内容不符合材料主旨，排除B项；根据所学可知，明朝是农耕社会，并未改变重农抑商政策，排除C项。</w:t>
      </w:r>
    </w:p>
    <w:p w14:paraId="3CFF9845">
      <w:pPr>
        <w:autoSpaceDE w:val="0"/>
        <w:autoSpaceDN w:val="0"/>
        <w:spacing w:before="20" w:line="284" w:lineRule="atLeast"/>
        <w:rPr>
          <w:sz w:val="16"/>
        </w:rPr>
      </w:pPr>
      <w:r>
        <w:rPr>
          <w:rFonts w:ascii="宋体" w:hAnsi="宋体" w:eastAsia="宋体" w:cs="宋体"/>
          <w:color w:val="000000"/>
          <w:sz w:val="16"/>
        </w:rPr>
        <w:t>7. C  【解析】由“主要通过关系信用开展运营”及“血缘、亲缘、地缘等各种经常性关系的互动”“社会公认”可知，近代杭州私营金融业受传统文化影响，故选C项；自然经济的特点是极少与市场发生联系，因而也就谈不上影响私营金融业的发展，故A项与题意不符，排除；单凭题干信息无法得出近代杭州私营金融业根植于“民族工业”，而是通过“以关系信用为依托”“通过血缘、亲缘、地缘等各种经常性关系的互动”“形成一种社会公认的规则机制”，排除B项；根据“主要通过关系信用开展运营”可知，关系信用推动金融业发展，D项因果关系颠倒，排除。</w:t>
      </w:r>
    </w:p>
    <w:p w14:paraId="4166DF5D">
      <w:pPr>
        <w:autoSpaceDE w:val="0"/>
        <w:autoSpaceDN w:val="0"/>
        <w:spacing w:before="160" w:line="160" w:lineRule="atLeast"/>
        <w:ind w:left="3380"/>
        <w:rPr>
          <w:sz w:val="10"/>
        </w:rPr>
      </w:pPr>
      <w:r>
        <w:br w:type="page"/>
      </w:r>
    </w:p>
    <w:p w14:paraId="5F74C564">
      <w:pPr>
        <w:autoSpaceDE w:val="0"/>
        <w:autoSpaceDN w:val="0"/>
        <w:spacing w:before="20" w:line="268" w:lineRule="atLeast"/>
        <w:rPr>
          <w:sz w:val="16"/>
        </w:rPr>
      </w:pPr>
      <w:r>
        <w:rPr>
          <w:rFonts w:ascii="宋体" w:hAnsi="宋体" w:eastAsia="宋体" w:cs="宋体"/>
          <w:color w:val="000000"/>
          <w:sz w:val="16"/>
        </w:rPr>
        <w:t>8. A  【解析】材料图中从①到⑤分别介绍从共和党、国民党、民主党组成，到国会选举中国民党拥有绝对优势，袁世凯下令解散国民党和国会导致政党政治名存实亡，概括了政党政治从产生到失败的过程，故选A项；根据所学，1912年清政府灭亡，袁世凯称帝是在1915年，此时不存在共和与帝制的斗争，排除B项；图中从①到⑤介绍政党政治的发展过程，不涉及民族资产阶级发展状况，排除C项；根据所学，1912年至1913年初，各地分裂割据，没有完成形式上的统一，排除D项。</w:t>
      </w:r>
    </w:p>
    <w:p w14:paraId="1D5D8173">
      <w:pPr>
        <w:autoSpaceDE w:val="0"/>
        <w:autoSpaceDN w:val="0"/>
        <w:spacing w:before="20" w:line="268" w:lineRule="atLeast"/>
        <w:rPr>
          <w:sz w:val="16"/>
        </w:rPr>
      </w:pPr>
      <w:r>
        <w:rPr>
          <w:rFonts w:ascii="宋体" w:hAnsi="宋体" w:eastAsia="宋体" w:cs="宋体"/>
          <w:color w:val="000000"/>
          <w:sz w:val="16"/>
        </w:rPr>
        <w:t>9. C  【解析】根据材料和所学可知，苏区个体经济居主体地位，国营经济与合作社经济的雏形已经存在，说明苏区在发展新民主主义经济，毛泽东的这些主张推动了新民主主义理论的形成，故选C项；材料重点说的是怎样解决苏区的困难，而非旨在强调面临的困难，排除A项；动员军民开展大生产运动是在全面抗战时期(1937——1945年)，而苏区存在于土地革命时期(1927——1937年)，排除B项；材料说的是土地革命时期，而非解放战争时期(1946——1949年)，排除D项。</w:t>
      </w:r>
    </w:p>
    <w:p w14:paraId="4DF61E7E">
      <w:pPr>
        <w:autoSpaceDE w:val="0"/>
        <w:autoSpaceDN w:val="0"/>
        <w:spacing w:before="20" w:line="264" w:lineRule="atLeast"/>
        <w:rPr>
          <w:sz w:val="16"/>
        </w:rPr>
      </w:pPr>
      <w:r>
        <w:rPr>
          <w:rFonts w:ascii="宋体" w:hAnsi="宋体" w:eastAsia="宋体" w:cs="宋体"/>
          <w:color w:val="000000"/>
          <w:sz w:val="16"/>
        </w:rPr>
        <w:t>10. D 【解析】根据材料“仍存在未……问题”可知，尽管《中华人民共和国民法典》广泛听取了多方意见，但颁布后仍存在难以满足社会的商法制度需求等问题，从侧面反映社会主义市场经济不断发展，刚颁布的法典就已滞后，故选D</w:t>
      </w:r>
      <w:r>
        <w:rPr>
          <w:rFonts w:ascii="宋体" w:hAnsi="宋体" w:eastAsia="宋体" w:cs="宋体"/>
          <w:sz w:val="16"/>
        </w:rPr>
        <w:t xml:space="preserve"> </w:t>
      </w:r>
      <w:r>
        <w:rPr>
          <w:rFonts w:ascii="宋体" w:hAnsi="宋体" w:eastAsia="宋体" w:cs="宋体"/>
          <w:color w:val="000000"/>
          <w:sz w:val="16"/>
        </w:rPr>
        <w:t>项；材料强调社会主义市场经济不断发展，与广大民众法律知识是否滞后无关，排除A项；材料强调法典落后于现实，与曲折性(表现为螺旋式上升或波浪式前进的过程)无关，排除B项；立法程序是指有关国家机关在制定、修改和废止规范性法律文件的活动中，所必须遵守的法定步骤和顺序，与材料主旨不符，排除C项。</w:t>
      </w:r>
    </w:p>
    <w:p w14:paraId="7A6150FB">
      <w:pPr>
        <w:autoSpaceDE w:val="0"/>
        <w:autoSpaceDN w:val="0"/>
        <w:spacing w:before="20" w:line="268" w:lineRule="atLeast"/>
        <w:rPr>
          <w:sz w:val="16"/>
        </w:rPr>
      </w:pPr>
      <w:r>
        <w:rPr>
          <w:rFonts w:ascii="宋体" w:hAnsi="宋体" w:eastAsia="宋体" w:cs="宋体"/>
          <w:color w:val="000000"/>
          <w:sz w:val="16"/>
        </w:rPr>
        <w:t>11. B  【解析】根据材料“权利主体(人格法，监护法)”“财产权利物权、继承、债”“人”“财产及对所有权的各种限制”可知，《查士丁尼法学总论》和《法国民法典》都强调人是权利的主体，保护了私有财产，这有利于维系经济秩序的正常进行，故选B项；材料通过对比《查士丁尼法学总论》和《法国民法典》的内容，强调对人的私有财产的重视，而非司法权的独立行使，排除A项；材料突出两部法典的主体是人，但并未强调国家主权归属的问题，排除C项；材料仅强调对私有财产的保护与规定，并非“限制”私有财产的相互转让，排除D项。</w:t>
      </w:r>
    </w:p>
    <w:p w14:paraId="27FA5000">
      <w:pPr>
        <w:autoSpaceDE w:val="0"/>
        <w:autoSpaceDN w:val="0"/>
        <w:spacing w:before="20" w:line="267" w:lineRule="atLeast"/>
        <w:rPr>
          <w:sz w:val="16"/>
        </w:rPr>
      </w:pPr>
      <w:r>
        <w:rPr>
          <w:rFonts w:ascii="宋体" w:hAnsi="宋体" w:eastAsia="宋体" w:cs="宋体"/>
          <w:color w:val="000000"/>
          <w:sz w:val="16"/>
        </w:rPr>
        <w:t>12. A  【解析】根据材料“我们⋯⋯承认您为我们的国王⋯⋯只要您遵从我们的地位和法律，如果您不如此，上述警言即无效”可知，西欧中世纪的王权是有限的，根据材料“大量类似的誓言出现于中世纪西欧贵族的宣誓仪式中”可知，此观念被大部分人接受和认可，故选A项；“王权受到教权的严格束缚”需要体现教权对王位继承、王权行使等方面的限制，而材料重点突出封君与封臣之间的关系，排除B项；“封君封臣在法律上地位平等”需要展现法律对封君、封臣地位的相关规定，而材料重点强调封臣对封君权力的限制，排除C项；“依法治国的原则”需要体现国王依照法律治理国家，而材料重点强调的是西欧封君与封臣之间的权利与义务，排除D项。</w:t>
      </w:r>
    </w:p>
    <w:p w14:paraId="36AD99F3">
      <w:pPr>
        <w:autoSpaceDE w:val="0"/>
        <w:autoSpaceDN w:val="0"/>
        <w:spacing w:before="40" w:line="267" w:lineRule="atLeast"/>
        <w:rPr>
          <w:sz w:val="16"/>
        </w:rPr>
      </w:pPr>
      <w:r>
        <w:rPr>
          <w:rFonts w:ascii="宋体" w:hAnsi="宋体" w:eastAsia="宋体" w:cs="宋体"/>
          <w:color w:val="000000"/>
          <w:sz w:val="16"/>
        </w:rPr>
        <w:t>13. B  【解析】根据材料“正统主义原则⋯⋯遏制原则⋯⋯补偿原则”可知，维也纳体系是在战胜国宰割战败国和弱小民族国家基础上形成的统治秩序，体现了大国的强权政治，其建立在英、俄、普、奥四国均势基础之上，故选B项；根据材料“炮制了欧洲地图”可知，根据维也纳会议确定的原则，战败国和弱小民族的国家主权被破坏，欧洲国家主权意识不断加强的说法与主旨不符，排除A项；二战后《联合国宪章》赋予安理会制裁的权力，确定了“大国一致”原则，排除C项；维也纳体系恢复欧洲的封建统治，并且把拿破仑统治下已经解放的民族重新置于战胜国的民族压迫之下，这是一种历史的逐流、历史的反动，维也纳体系是非正义的，排除D项。</w:t>
      </w:r>
    </w:p>
    <w:p w14:paraId="3423F6B3">
      <w:pPr>
        <w:autoSpaceDE w:val="0"/>
        <w:autoSpaceDN w:val="0"/>
        <w:spacing w:before="20" w:line="265" w:lineRule="atLeast"/>
        <w:rPr>
          <w:sz w:val="16"/>
        </w:rPr>
      </w:pPr>
      <w:r>
        <w:rPr>
          <w:rFonts w:ascii="宋体" w:hAnsi="宋体" w:eastAsia="宋体" w:cs="宋体"/>
          <w:color w:val="000000"/>
          <w:sz w:val="16"/>
        </w:rPr>
        <w:t>14. D  【解析】根据材料信息可知，在法国大革命中以“叛国罪”处死的是镇压革命的路易十六和王后，不是起义者，这说明民族国家的内涵发生变化，由主权在君到主权在民，故选D项；材料体现的是“叛国罪”处死对象的变化，不涉及大革命的进程，排除A项；法国大革命时期，人权意识较强，排除B项；材料体现“叛国罪”处死对象的变化，与军事独裁无关，且“必然性”说法错误，排除C项。</w:t>
      </w:r>
    </w:p>
    <w:p w14:paraId="6E16FD8E">
      <w:pPr>
        <w:autoSpaceDE w:val="0"/>
        <w:autoSpaceDN w:val="0"/>
        <w:spacing w:before="20" w:line="270" w:lineRule="atLeast"/>
        <w:rPr>
          <w:sz w:val="16"/>
        </w:rPr>
      </w:pPr>
      <w:r>
        <w:rPr>
          <w:rFonts w:ascii="宋体" w:hAnsi="宋体" w:eastAsia="宋体" w:cs="宋体"/>
          <w:color w:val="000000"/>
          <w:sz w:val="16"/>
        </w:rPr>
        <w:t>15. A  【解析】根据材料及所学可知，政党分肥制即竞争获胜的政党，将行政职位分配给本党主要骨干的做法，美国文官制度建立后，仍然存在总统为照顾支持者而任命一些官员的情况，这说明政党分肥制的影响依旧存在，故选A</w:t>
      </w:r>
      <w:r>
        <w:rPr>
          <w:rFonts w:ascii="宋体" w:hAnsi="宋体" w:eastAsia="宋体" w:cs="宋体"/>
          <w:sz w:val="16"/>
        </w:rPr>
        <w:t xml:space="preserve"> </w:t>
      </w:r>
      <w:r>
        <w:rPr>
          <w:rFonts w:ascii="宋体" w:hAnsi="宋体" w:eastAsia="宋体" w:cs="宋体"/>
          <w:color w:val="000000"/>
          <w:sz w:val="16"/>
        </w:rPr>
        <w:t>项；美国的分权制衡体制体现于总统、国会、最高法院间的权力关系，材料强调美国总统对支持者的照顾，并未提及“分权制衡体制”，排除B项；材料强调美国总统“任命一些照顾性官员”，并未提及文官与总统的权力关系，不能得出“总统权力受到文官制度制约”，排除C项；材料强调总统存在着照顾支持者的行为，并未提及文官的政治倾向，排除D项。</w:t>
      </w:r>
    </w:p>
    <w:p w14:paraId="757DDA29">
      <w:pPr>
        <w:autoSpaceDE w:val="0"/>
        <w:autoSpaceDN w:val="0"/>
        <w:spacing w:before="40" w:line="260" w:lineRule="atLeast"/>
        <w:rPr>
          <w:sz w:val="16"/>
        </w:rPr>
      </w:pPr>
      <w:r>
        <w:rPr>
          <w:rFonts w:ascii="宋体" w:hAnsi="宋体" w:eastAsia="宋体" w:cs="宋体"/>
          <w:color w:val="000000"/>
          <w:sz w:val="16"/>
        </w:rPr>
        <w:t>16. C  【解析】根据材料信息可知，20世纪80年代以后，强调政府与社会的互动和多元管理成为公共管理的新思潮，结合所学西方基层治理的史实可知，社区承担了更多的政府功能，故选C项；20世纪80年代后由于新自由主义思想的影响，政府干预减少，排除A项；社区主要依靠居民的自我管理，并不是社会上层，排除B项；二战后社区开始成为基层自治的主要方式，与材料时间不符，排除D项。</w:t>
      </w:r>
    </w:p>
    <w:p w14:paraId="4D2A8CE0">
      <w:pPr>
        <w:autoSpaceDE w:val="0"/>
        <w:autoSpaceDN w:val="0"/>
        <w:spacing w:before="20" w:line="240" w:lineRule="atLeast"/>
        <w:rPr>
          <w:sz w:val="15"/>
        </w:rPr>
      </w:pPr>
      <w:r>
        <w:rPr>
          <w:rFonts w:ascii="宋体" w:hAnsi="宋体" w:eastAsia="宋体" w:cs="宋体"/>
          <w:color w:val="000000"/>
          <w:sz w:val="15"/>
        </w:rPr>
        <w:t>二、非选择题(本题共3小题，共52分)</w:t>
      </w:r>
    </w:p>
    <w:p w14:paraId="69088B65">
      <w:pPr>
        <w:autoSpaceDE w:val="0"/>
        <w:autoSpaceDN w:val="0"/>
        <w:spacing w:before="20" w:line="260" w:lineRule="atLeast"/>
        <w:rPr>
          <w:sz w:val="15"/>
        </w:rPr>
      </w:pPr>
      <w:r>
        <w:rPr>
          <w:rFonts w:ascii="宋体" w:hAnsi="宋体" w:eastAsia="宋体" w:cs="宋体"/>
          <w:color w:val="000000"/>
          <w:sz w:val="15"/>
        </w:rPr>
        <w:t>17.(1)思想观念：宗法观念；天人合一观念；阴阳五行学说；儒家思想的三纲五常伦理观念；等级观念等。(任答三点，6分)</w:t>
      </w:r>
    </w:p>
    <w:p w14:paraId="1DC60D76">
      <w:pPr>
        <w:autoSpaceDE w:val="0"/>
        <w:autoSpaceDN w:val="0"/>
        <w:spacing w:before="40" w:line="240" w:lineRule="atLeast"/>
        <w:ind w:left="260"/>
        <w:rPr>
          <w:sz w:val="15"/>
        </w:rPr>
      </w:pPr>
      <w:r>
        <w:rPr>
          <w:rFonts w:ascii="宋体" w:hAnsi="宋体" w:eastAsia="宋体" w:cs="宋体"/>
          <w:color w:val="000000"/>
          <w:sz w:val="15"/>
        </w:rPr>
        <w:t>影响：稳定社会秩序；维系封建伦理；强化等级秩序。(任答两点，4分)</w:t>
      </w:r>
    </w:p>
    <w:p w14:paraId="3DDCCB42">
      <w:pPr>
        <w:autoSpaceDE w:val="0"/>
        <w:autoSpaceDN w:val="0"/>
        <w:spacing w:before="60" w:line="220" w:lineRule="atLeast"/>
        <w:ind w:left="260"/>
        <w:rPr>
          <w:sz w:val="15"/>
        </w:rPr>
      </w:pPr>
      <w:r>
        <w:rPr>
          <w:rFonts w:ascii="宋体" w:hAnsi="宋体" w:eastAsia="宋体" w:cs="宋体"/>
          <w:color w:val="000000"/>
          <w:sz w:val="15"/>
        </w:rPr>
        <w:t>(2)趋势：等级限制放松；价值取向发生变化；强化女性贞洁意识.(任答两点，4分)</w:t>
      </w:r>
    </w:p>
    <w:p w14:paraId="631FC6DF">
      <w:pPr>
        <w:autoSpaceDE w:val="0"/>
        <w:autoSpaceDN w:val="0"/>
        <w:spacing w:before="40" w:line="260" w:lineRule="atLeast"/>
        <w:ind w:left="260"/>
        <w:rPr>
          <w:sz w:val="15"/>
        </w:rPr>
      </w:pPr>
      <w:r>
        <w:rPr>
          <w:rFonts w:ascii="宋体" w:hAnsi="宋体" w:eastAsia="宋体" w:cs="宋体"/>
          <w:color w:val="000000"/>
          <w:sz w:val="15"/>
        </w:rPr>
        <w:t>原因：政治上：门阀士族势力渐衰、社会阶层流动性增强；经济上；商品经济不断发展；思想上：程朱理学发展。(任答三点，6分)</w:t>
      </w:r>
    </w:p>
    <w:p w14:paraId="217510A5">
      <w:pPr>
        <w:autoSpaceDE w:val="0"/>
        <w:autoSpaceDN w:val="0"/>
        <w:spacing w:before="60" w:line="240" w:lineRule="atLeast"/>
        <w:rPr>
          <w:sz w:val="15"/>
        </w:rPr>
      </w:pPr>
      <w:r>
        <w:rPr>
          <w:rFonts w:ascii="宋体" w:hAnsi="宋体" w:eastAsia="宋体" w:cs="宋体"/>
          <w:color w:val="000000"/>
          <w:sz w:val="15"/>
        </w:rPr>
        <w:t>18.(1)背景：受宗教改革影响；封建王权的推动；商品经济的发展；对外殖民扩张的影响。(任答三点，6分)</w:t>
      </w:r>
    </w:p>
    <w:p w14:paraId="32501DD5">
      <w:pPr>
        <w:autoSpaceDE w:val="0"/>
        <w:autoSpaceDN w:val="0"/>
        <w:spacing w:line="280" w:lineRule="atLeast"/>
        <w:ind w:left="260"/>
        <w:rPr>
          <w:sz w:val="15"/>
        </w:rPr>
      </w:pPr>
      <w:r>
        <w:rPr>
          <w:rFonts w:ascii="宋体" w:hAnsi="宋体" w:eastAsia="宋体" w:cs="宋体"/>
          <w:color w:val="000000"/>
          <w:sz w:val="15"/>
        </w:rPr>
        <w:t>影响：积极：反对教权强化王权，推动英国民族国家的产生；促进了资本主义的经济发展；有利于世界近代民族意识的觉醒。(任答一点，2分)</w:t>
      </w:r>
    </w:p>
    <w:p w14:paraId="54A1253E">
      <w:pPr>
        <w:autoSpaceDE w:val="0"/>
        <w:autoSpaceDN w:val="0"/>
        <w:spacing w:before="40" w:line="220" w:lineRule="atLeast"/>
        <w:ind w:left="260"/>
        <w:rPr>
          <w:sz w:val="15"/>
        </w:rPr>
      </w:pPr>
      <w:r>
        <w:rPr>
          <w:rFonts w:ascii="宋体" w:hAnsi="宋体" w:eastAsia="宋体" w:cs="宋体"/>
          <w:color w:val="000000"/>
          <w:sz w:val="15"/>
        </w:rPr>
        <w:t>消极：有狭隘的民族主义倾向，加剧了对外侵略和扩张。(2分)</w:t>
      </w:r>
    </w:p>
    <w:p w14:paraId="55C51C4A">
      <w:pPr>
        <w:autoSpaceDE w:val="0"/>
        <w:autoSpaceDN w:val="0"/>
        <w:spacing w:before="60" w:line="240" w:lineRule="atLeast"/>
        <w:ind w:left="260"/>
        <w:rPr>
          <w:sz w:val="15"/>
        </w:rPr>
      </w:pPr>
      <w:r>
        <w:rPr>
          <w:rFonts w:ascii="宋体" w:hAnsi="宋体" w:eastAsia="宋体" w:cs="宋体"/>
          <w:color w:val="000000"/>
          <w:sz w:val="15"/>
        </w:rPr>
        <w:t>(2)耆英、梁启超、孙中山三人的言论是自身思想的亲自记载展示，均属于一手史料、文献史料。(1分)</w:t>
      </w:r>
    </w:p>
    <w:p w14:paraId="711D5A0A">
      <w:pPr>
        <w:autoSpaceDE w:val="0"/>
        <w:autoSpaceDN w:val="0"/>
        <w:spacing w:before="40" w:line="260" w:lineRule="atLeast"/>
        <w:ind w:left="260"/>
        <w:rPr>
          <w:sz w:val="15"/>
        </w:rPr>
      </w:pPr>
      <w:r>
        <w:rPr>
          <w:rFonts w:ascii="宋体" w:hAnsi="宋体" w:eastAsia="宋体" w:cs="宋体"/>
          <w:color w:val="000000"/>
          <w:sz w:val="15"/>
        </w:rPr>
        <w:t>耆英作为封建地主阶级的代表，其奏折言论出现在《南京条约》签订前，不顾民族大义，主张求和，反映出鸦片战争时期，中国尚未具备近代意义上的民族意识。研究耆英的言论能够了解中国近代民族意识觉醒的背景，提供比较研究的视角。(言之有理均可，3分)</w:t>
      </w:r>
    </w:p>
    <w:p w14:paraId="71B42180">
      <w:pPr>
        <w:autoSpaceDE w:val="0"/>
        <w:autoSpaceDN w:val="0"/>
        <w:spacing w:before="20" w:line="273" w:lineRule="atLeast"/>
        <w:ind w:left="260"/>
        <w:rPr>
          <w:sz w:val="15"/>
        </w:rPr>
      </w:pPr>
      <w:r>
        <w:rPr>
          <w:rFonts w:ascii="宋体" w:hAnsi="宋体" w:eastAsia="宋体" w:cs="宋体"/>
          <w:color w:val="000000"/>
          <w:sz w:val="15"/>
        </w:rPr>
        <w:t>梁启超作为资产阶级改良派的代表，受近代西方民族主义和民主主义思想的影响，提出兴民权，进而与西方列强实现平等的交往，建立独立主权的民族国家。可以通过研究梁启超的言论了解近代(19世纪末20世纪初)中国先进代表———中国资产阶级改良派在近代民族意识方面的觉醒。(言之有理均可，3分)</w:t>
      </w:r>
    </w:p>
    <w:p w14:paraId="5FDED603">
      <w:pPr>
        <w:autoSpaceDE w:val="0"/>
        <w:autoSpaceDN w:val="0"/>
        <w:spacing w:line="260" w:lineRule="atLeast"/>
        <w:ind w:left="260"/>
        <w:rPr>
          <w:sz w:val="15"/>
        </w:rPr>
      </w:pPr>
      <w:r>
        <w:rPr>
          <w:rFonts w:ascii="宋体" w:hAnsi="宋体" w:eastAsia="宋体" w:cs="宋体"/>
          <w:color w:val="000000"/>
          <w:sz w:val="15"/>
        </w:rPr>
        <w:t>孙中山作为资产阶级革命派的代表，受共产国际和中国共产党的影响，强调国内各民族一律平等，要求民族自决，明确提出反帝的主张，要求建立自由统一的民主共和国。可以通过研究孙中山的言论了解20世纪20年代中国资产阶级革命派在近代民族意识方面的觉醒。(言之有理均可，3分)</w:t>
      </w:r>
    </w:p>
    <w:p w14:paraId="2B12C470">
      <w:pPr>
        <w:autoSpaceDE w:val="0"/>
        <w:autoSpaceDN w:val="0"/>
        <w:spacing w:before="160" w:line="120" w:lineRule="atLeast"/>
        <w:rPr>
          <w:sz w:val="6"/>
        </w:rPr>
      </w:pPr>
      <w:r>
        <w:rPr>
          <w:rFonts w:ascii="宋体" w:hAnsi="宋体" w:eastAsia="宋体" w:cs="宋体"/>
          <w:color w:val="000000"/>
          <w:sz w:val="6"/>
        </w:rPr>
        <w:t>19.</w:t>
      </w:r>
    </w:p>
    <w:p w14:paraId="164D51E2">
      <w:pPr>
        <w:spacing w:line="160" w:lineRule="exact"/>
      </w:pPr>
    </w:p>
    <w:tbl>
      <w:tblPr>
        <w:tblStyle w:val="4"/>
        <w:tblW w:w="0" w:type="auto"/>
        <w:tblInd w:w="34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80"/>
        <w:gridCol w:w="1020"/>
        <w:gridCol w:w="6480"/>
      </w:tblGrid>
      <w:tr w14:paraId="086A373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00" w:hRule="atLeast"/>
        </w:trPr>
        <w:tc>
          <w:tcPr>
            <w:tcW w:w="780" w:type="dxa"/>
            <w:vAlign w:val="center"/>
          </w:tcPr>
          <w:p w14:paraId="2DDC4A54">
            <w:pPr>
              <w:autoSpaceDE w:val="0"/>
              <w:autoSpaceDN w:val="0"/>
              <w:spacing w:line="260" w:lineRule="atLeast"/>
              <w:jc w:val="center"/>
              <w:rPr>
                <w:sz w:val="16"/>
              </w:rPr>
            </w:pPr>
            <w:r>
              <w:rPr>
                <w:rFonts w:ascii="宋体" w:hAnsi="宋体" w:eastAsia="宋体" w:cs="宋体"/>
                <w:color w:val="000000"/>
                <w:sz w:val="16"/>
              </w:rPr>
              <w:t>等次</w:t>
            </w:r>
          </w:p>
        </w:tc>
        <w:tc>
          <w:tcPr>
            <w:tcW w:w="1020" w:type="dxa"/>
            <w:vAlign w:val="center"/>
          </w:tcPr>
          <w:p w14:paraId="2B2FC97A">
            <w:pPr>
              <w:autoSpaceDE w:val="0"/>
              <w:autoSpaceDN w:val="0"/>
              <w:spacing w:line="260" w:lineRule="atLeast"/>
              <w:jc w:val="center"/>
              <w:rPr>
                <w:sz w:val="16"/>
              </w:rPr>
            </w:pPr>
            <w:r>
              <w:rPr>
                <w:rFonts w:ascii="宋体" w:hAnsi="宋体" w:eastAsia="宋体" w:cs="宋体"/>
                <w:color w:val="000000"/>
                <w:sz w:val="16"/>
              </w:rPr>
              <w:t>得分</w:t>
            </w:r>
          </w:p>
        </w:tc>
        <w:tc>
          <w:tcPr>
            <w:tcW w:w="6480" w:type="dxa"/>
            <w:vAlign w:val="center"/>
          </w:tcPr>
          <w:p w14:paraId="1E73AA62">
            <w:pPr>
              <w:autoSpaceDE w:val="0"/>
              <w:autoSpaceDN w:val="0"/>
              <w:spacing w:line="260" w:lineRule="atLeast"/>
              <w:rPr>
                <w:sz w:val="16"/>
              </w:rPr>
            </w:pPr>
            <w:r>
              <w:rPr>
                <w:rFonts w:ascii="宋体" w:hAnsi="宋体" w:eastAsia="宋体" w:cs="宋体"/>
                <w:color w:val="000000"/>
                <w:sz w:val="16"/>
              </w:rPr>
              <w:t>评分标准</w:t>
            </w:r>
          </w:p>
        </w:tc>
      </w:tr>
      <w:tr w14:paraId="5F12B94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60" w:hRule="atLeast"/>
        </w:trPr>
        <w:tc>
          <w:tcPr>
            <w:tcW w:w="780" w:type="dxa"/>
            <w:vAlign w:val="center"/>
          </w:tcPr>
          <w:p w14:paraId="3DD46EF4">
            <w:pPr>
              <w:autoSpaceDE w:val="0"/>
              <w:autoSpaceDN w:val="0"/>
              <w:spacing w:line="300" w:lineRule="atLeast"/>
              <w:jc w:val="center"/>
              <w:rPr>
                <w:sz w:val="16"/>
              </w:rPr>
            </w:pPr>
            <w:r>
              <w:rPr>
                <w:rFonts w:ascii="宋体" w:hAnsi="宋体" w:eastAsia="宋体" w:cs="宋体"/>
                <w:color w:val="000000"/>
                <w:sz w:val="16"/>
              </w:rPr>
              <w:t>第一等第</w:t>
            </w:r>
          </w:p>
        </w:tc>
        <w:tc>
          <w:tcPr>
            <w:tcW w:w="1020" w:type="dxa"/>
            <w:vAlign w:val="center"/>
          </w:tcPr>
          <w:p w14:paraId="78960CA1">
            <w:pPr>
              <w:autoSpaceDE w:val="0"/>
              <w:autoSpaceDN w:val="0"/>
              <w:spacing w:line="300" w:lineRule="atLeast"/>
              <w:jc w:val="center"/>
              <w:rPr>
                <w:sz w:val="16"/>
              </w:rPr>
            </w:pPr>
            <w:r>
              <w:rPr>
                <w:rFonts w:ascii="宋体" w:hAnsi="宋体" w:eastAsia="宋体" w:cs="宋体"/>
                <w:color w:val="000000"/>
                <w:sz w:val="16"/>
              </w:rPr>
              <w:t>9~12分</w:t>
            </w:r>
          </w:p>
        </w:tc>
        <w:tc>
          <w:tcPr>
            <w:tcW w:w="6480" w:type="dxa"/>
            <w:vAlign w:val="center"/>
          </w:tcPr>
          <w:p w14:paraId="20975887">
            <w:pPr>
              <w:autoSpaceDE w:val="0"/>
              <w:autoSpaceDN w:val="0"/>
              <w:spacing w:line="280" w:lineRule="atLeast"/>
              <w:rPr>
                <w:sz w:val="16"/>
              </w:rPr>
            </w:pPr>
            <w:r>
              <w:rPr>
                <w:rFonts w:ascii="宋体" w:hAnsi="宋体" w:eastAsia="宋体" w:cs="宋体"/>
                <w:color w:val="000000"/>
                <w:sz w:val="16"/>
              </w:rPr>
              <w:t>标题恰当，观点明确；</w:t>
            </w:r>
          </w:p>
          <w:p w14:paraId="31C6C60C">
            <w:pPr>
              <w:autoSpaceDE w:val="0"/>
              <w:autoSpaceDN w:val="0"/>
              <w:spacing w:before="20" w:line="260" w:lineRule="atLeast"/>
              <w:rPr>
                <w:sz w:val="16"/>
              </w:rPr>
            </w:pPr>
            <w:r>
              <w:rPr>
                <w:rFonts w:ascii="宋体" w:hAnsi="宋体" w:eastAsia="宋体" w:cs="宋体"/>
                <w:color w:val="000000"/>
                <w:sz w:val="16"/>
              </w:rPr>
              <w:t>能够准确解读材料、充分运用史实进行论证说明：</w:t>
            </w:r>
          </w:p>
          <w:p w14:paraId="27F98B01">
            <w:pPr>
              <w:autoSpaceDE w:val="0"/>
              <w:autoSpaceDN w:val="0"/>
              <w:spacing w:before="20" w:line="260" w:lineRule="atLeast"/>
              <w:rPr>
                <w:sz w:val="16"/>
              </w:rPr>
            </w:pPr>
            <w:r>
              <w:rPr>
                <w:rFonts w:ascii="宋体" w:hAnsi="宋体" w:eastAsia="宋体" w:cs="宋体"/>
                <w:color w:val="000000"/>
                <w:sz w:val="16"/>
              </w:rPr>
              <w:t>表述清晰，逻辑严密</w:t>
            </w:r>
          </w:p>
        </w:tc>
      </w:tr>
      <w:tr w14:paraId="7A1B5B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60" w:hRule="atLeast"/>
        </w:trPr>
        <w:tc>
          <w:tcPr>
            <w:tcW w:w="780" w:type="dxa"/>
            <w:vAlign w:val="center"/>
          </w:tcPr>
          <w:p w14:paraId="2F3CAD6C">
            <w:pPr>
              <w:autoSpaceDE w:val="0"/>
              <w:autoSpaceDN w:val="0"/>
              <w:spacing w:line="300" w:lineRule="atLeast"/>
              <w:jc w:val="center"/>
              <w:rPr>
                <w:sz w:val="16"/>
              </w:rPr>
            </w:pPr>
            <w:r>
              <w:rPr>
                <w:rFonts w:ascii="宋体" w:hAnsi="宋体" w:eastAsia="宋体" w:cs="宋体"/>
                <w:color w:val="000000"/>
                <w:sz w:val="16"/>
              </w:rPr>
              <w:t>第二等第</w:t>
            </w:r>
          </w:p>
        </w:tc>
        <w:tc>
          <w:tcPr>
            <w:tcW w:w="1020" w:type="dxa"/>
            <w:vAlign w:val="center"/>
          </w:tcPr>
          <w:p w14:paraId="6AE057BD">
            <w:pPr>
              <w:autoSpaceDE w:val="0"/>
              <w:autoSpaceDN w:val="0"/>
              <w:spacing w:line="300" w:lineRule="atLeast"/>
              <w:jc w:val="center"/>
              <w:rPr>
                <w:sz w:val="16"/>
              </w:rPr>
            </w:pPr>
            <w:r>
              <w:rPr>
                <w:rFonts w:ascii="宋体" w:hAnsi="宋体" w:eastAsia="宋体" w:cs="宋体"/>
                <w:color w:val="000000"/>
                <w:sz w:val="16"/>
              </w:rPr>
              <w:t>5~8分</w:t>
            </w:r>
          </w:p>
        </w:tc>
        <w:tc>
          <w:tcPr>
            <w:tcW w:w="6480" w:type="dxa"/>
            <w:vAlign w:val="center"/>
          </w:tcPr>
          <w:p w14:paraId="145E956D">
            <w:pPr>
              <w:autoSpaceDE w:val="0"/>
              <w:autoSpaceDN w:val="0"/>
              <w:spacing w:line="280" w:lineRule="atLeast"/>
              <w:rPr>
                <w:sz w:val="16"/>
              </w:rPr>
            </w:pPr>
            <w:r>
              <w:rPr>
                <w:rFonts w:ascii="宋体" w:hAnsi="宋体" w:eastAsia="宋体" w:cs="宋体"/>
                <w:color w:val="000000"/>
                <w:sz w:val="16"/>
              </w:rPr>
              <w:t>标题较恰当，观点较明确；能比较准确地解读材料、运用史实进行论证说明：</w:t>
            </w:r>
          </w:p>
          <w:p w14:paraId="16733C82">
            <w:pPr>
              <w:autoSpaceDE w:val="0"/>
              <w:autoSpaceDN w:val="0"/>
              <w:spacing w:line="280" w:lineRule="atLeast"/>
              <w:rPr>
                <w:sz w:val="16"/>
              </w:rPr>
            </w:pPr>
            <w:r>
              <w:rPr>
                <w:rFonts w:ascii="宋体" w:hAnsi="宋体" w:eastAsia="宋体" w:cs="宋体"/>
                <w:color w:val="000000"/>
                <w:sz w:val="16"/>
              </w:rPr>
              <w:t>表述较清晰，逻辑关系较清楚</w:t>
            </w:r>
          </w:p>
        </w:tc>
      </w:tr>
      <w:tr w14:paraId="4753506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660" w:hRule="atLeast"/>
        </w:trPr>
        <w:tc>
          <w:tcPr>
            <w:tcW w:w="780" w:type="dxa"/>
            <w:vAlign w:val="center"/>
          </w:tcPr>
          <w:p w14:paraId="71AAFDB6">
            <w:pPr>
              <w:autoSpaceDE w:val="0"/>
              <w:autoSpaceDN w:val="0"/>
              <w:spacing w:line="300" w:lineRule="atLeast"/>
              <w:jc w:val="center"/>
              <w:rPr>
                <w:sz w:val="16"/>
              </w:rPr>
            </w:pPr>
            <w:r>
              <w:rPr>
                <w:rFonts w:ascii="宋体" w:hAnsi="宋体" w:eastAsia="宋体" w:cs="宋体"/>
                <w:color w:val="000000"/>
                <w:sz w:val="16"/>
              </w:rPr>
              <w:t>第三等第</w:t>
            </w:r>
          </w:p>
        </w:tc>
        <w:tc>
          <w:tcPr>
            <w:tcW w:w="1020" w:type="dxa"/>
            <w:vAlign w:val="center"/>
          </w:tcPr>
          <w:p w14:paraId="6B606C50">
            <w:pPr>
              <w:autoSpaceDE w:val="0"/>
              <w:autoSpaceDN w:val="0"/>
              <w:spacing w:line="300" w:lineRule="atLeast"/>
              <w:jc w:val="center"/>
              <w:rPr>
                <w:sz w:val="16"/>
              </w:rPr>
            </w:pPr>
            <w:r>
              <w:rPr>
                <w:rFonts w:ascii="宋体" w:hAnsi="宋体" w:eastAsia="宋体" w:cs="宋体"/>
                <w:color w:val="000000"/>
                <w:sz w:val="16"/>
              </w:rPr>
              <w:t>0~4分</w:t>
            </w:r>
          </w:p>
        </w:tc>
        <w:tc>
          <w:tcPr>
            <w:tcW w:w="6480" w:type="dxa"/>
            <w:vAlign w:val="center"/>
          </w:tcPr>
          <w:p w14:paraId="7C400E44">
            <w:pPr>
              <w:autoSpaceDE w:val="0"/>
              <w:autoSpaceDN w:val="0"/>
              <w:spacing w:line="260" w:lineRule="atLeast"/>
              <w:rPr>
                <w:sz w:val="16"/>
              </w:rPr>
            </w:pPr>
            <w:r>
              <w:rPr>
                <w:rFonts w:ascii="宋体" w:hAnsi="宋体" w:eastAsia="宋体" w:cs="宋体"/>
                <w:color w:val="000000"/>
                <w:sz w:val="16"/>
              </w:rPr>
              <w:t>有标题，有观点，史实不够准确，逻辑关系不清；</w:t>
            </w:r>
          </w:p>
          <w:p w14:paraId="43E26CCA">
            <w:pPr>
              <w:autoSpaceDE w:val="0"/>
              <w:autoSpaceDN w:val="0"/>
              <w:spacing w:before="20" w:line="260" w:lineRule="atLeast"/>
              <w:rPr>
                <w:sz w:val="16"/>
              </w:rPr>
            </w:pPr>
            <w:r>
              <w:rPr>
                <w:rFonts w:ascii="宋体" w:hAnsi="宋体" w:eastAsia="宋体" w:cs="宋体"/>
                <w:color w:val="000000"/>
                <w:sz w:val="16"/>
              </w:rPr>
              <w:t>无标题，无观点或观点不明确，运用史实不够准确或无史实</w:t>
            </w:r>
          </w:p>
        </w:tc>
      </w:tr>
    </w:tbl>
    <w:p w14:paraId="2DAE9E49">
      <w:pPr>
        <w:autoSpaceDE w:val="0"/>
        <w:autoSpaceDN w:val="0"/>
        <w:spacing w:before="100" w:line="220" w:lineRule="atLeast"/>
        <w:ind w:left="260"/>
        <w:rPr>
          <w:sz w:val="15"/>
        </w:rPr>
      </w:pPr>
      <w:r>
        <w:rPr>
          <w:rFonts w:ascii="宋体" w:hAnsi="宋体" w:eastAsia="宋体" w:cs="宋体"/>
          <w:color w:val="000000"/>
          <w:sz w:val="15"/>
        </w:rPr>
        <w:t>参考视角：选择1、2、3项 古代中国货币的发展反映了时代的变迁</w:t>
      </w:r>
    </w:p>
    <w:p w14:paraId="62819132">
      <w:pPr>
        <w:autoSpaceDE w:val="0"/>
        <w:autoSpaceDN w:val="0"/>
        <w:spacing w:before="60" w:line="240" w:lineRule="atLeast"/>
        <w:ind w:left="260"/>
        <w:rPr>
          <w:sz w:val="15"/>
        </w:rPr>
      </w:pPr>
      <w:r>
        <w:rPr>
          <w:rFonts w:ascii="宋体" w:hAnsi="宋体" w:eastAsia="宋体" w:cs="宋体"/>
          <w:color w:val="000000"/>
          <w:sz w:val="15"/>
        </w:rPr>
        <w:t>选择3、4、5项 从纸币到白银的流变看中国外贸的发展</w:t>
      </w:r>
    </w:p>
    <w:p w14:paraId="3D0DF8A6">
      <w:pPr>
        <w:autoSpaceDE w:val="0"/>
        <w:autoSpaceDN w:val="0"/>
        <w:spacing w:before="60" w:line="220" w:lineRule="atLeast"/>
        <w:ind w:left="260"/>
        <w:rPr>
          <w:sz w:val="15"/>
        </w:rPr>
      </w:pPr>
      <w:r>
        <w:rPr>
          <w:rFonts w:ascii="宋体" w:hAnsi="宋体" w:eastAsia="宋体" w:cs="宋体"/>
          <w:color w:val="000000"/>
          <w:sz w:val="15"/>
        </w:rPr>
        <w:t>选择6、7、8项 金本位制的变化反映了欧美各国国力的变化</w:t>
      </w:r>
    </w:p>
    <w:p w14:paraId="5E2A2A64">
      <w:pPr>
        <w:autoSpaceDE w:val="0"/>
        <w:autoSpaceDN w:val="0"/>
        <w:spacing w:before="140" w:line="120" w:lineRule="atLeast"/>
        <w:ind w:left="260"/>
        <w:rPr>
          <w:sz w:val="6"/>
        </w:rPr>
      </w:pPr>
      <w:r>
        <w:rPr>
          <w:rFonts w:ascii="宋体" w:hAnsi="宋体" w:eastAsia="宋体" w:cs="宋体"/>
          <w:color w:val="000000"/>
          <w:sz w:val="6"/>
        </w:rPr>
        <w:t>……</w:t>
      </w:r>
    </w:p>
    <w:p w14:paraId="1BD9133B">
      <w:pPr>
        <w:autoSpaceDE w:val="0"/>
        <w:autoSpaceDN w:val="0"/>
        <w:spacing w:before="3020" w:line="160" w:lineRule="atLeast"/>
        <w:ind w:left="3300"/>
        <w:rPr>
          <w:sz w:val="10"/>
        </w:rPr>
      </w:pPr>
    </w:p>
    <w:sectPr>
      <w:pgSz w:w="10480" w:h="15800"/>
      <w:pgMar w:top="800" w:right="800" w:bottom="800" w:left="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noPunctuationKerning w:val="1"/>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DhmZWJhNWNkY2VlZDY1MDE2OWI5YjY3MzQzNWUifQ=="/>
  </w:docVars>
  <w:rsids>
    <w:rsidRoot w:val="0033697E"/>
    <w:rsid w:val="0033697E"/>
    <w:rsid w:val="004151FC"/>
    <w:rsid w:val="00530FBF"/>
    <w:rsid w:val="00C02FC6"/>
    <w:rsid w:val="4DC46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4864</Words>
  <Characters>4970</Characters>
  <TotalTime>0</TotalTime>
  <ScaleCrop>false</ScaleCrop>
  <LinksUpToDate>false</LinksUpToDate>
  <CharactersWithSpaces>5021</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2024-11-12T01:58:34Z</dcterms:created>
  <dcterms:modified xsi:type="dcterms:W3CDTF">2024-11-12T02:00:42Z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48F2AEED7A7E472880DADA940A2C1825_12</vt:lpwstr>
  </property>
</Properties>
</file>