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11366500</wp:posOffset>
            </wp:positionV>
            <wp:extent cx="254000" cy="4699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2024/2025学年度第一学期联盟校第一次学情调研检测高三年级历史试题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（总分100分  考试时间75分钟）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1.本试卷中所有试题必须作答在答题纸上规定的位置，否则不给分.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2.答题前，务必将自己的姓名、准考证号用0.5毫米黑色墨水签字笔填写在试卷及答题纸上.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3.作答非选择题时必须用黑色字迹0.5毫米签字笔书写在答题纸的指定位置上，作答选择题必须用2B铅笔在答题纸上将对应题目的选项涂黑。如需改动，请用橡皮擦干净后，再选涂其它答案，请保持答题纸清洁，不折叠、不破损。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第Ⅰ卷（选择题共45分）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一、选择题：本大题共15小题，每小题3分，共计45分。在每小题列出的四个选项中，只有一项是最符合题目要求的。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下表为学生进行“中华文明起源”研究性学习收集</w:t>
      </w:r>
      <w:r>
        <w:rPr>
          <w:rFonts w:ascii="宋体" w:eastAsia="宋体" w:hAnsi="宋体" w:cs="宋体"/>
          <w:color w:val="auto"/>
          <w:position w:val="0"/>
        </w:rPr>
        <w:drawing>
          <wp:inline>
            <wp:extent cx="133350" cy="1778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史料，下列选项中史料与结论之间逻辑关系正确的是（   ）</w:t>
      </w:r>
    </w:p>
    <w:tbl>
      <w:tblPr>
        <w:tblStyle w:val="TableNormal"/>
        <w:tblW w:w="7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8"/>
        <w:gridCol w:w="6361"/>
        <w:gridCol w:w="2701"/>
      </w:tblGrid>
      <w:tr>
        <w:tblPrEx>
          <w:tblW w:w="733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22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选项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史料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结论</w:t>
            </w:r>
          </w:p>
        </w:tc>
      </w:tr>
      <w:tr>
        <w:tblPrEx>
          <w:tblW w:w="733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A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位于河南省舞阳县的贾湖遗址，发现了距今8000多年的七音孔骨笛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原始社会已经产生礼乐制度</w:t>
            </w:r>
          </w:p>
        </w:tc>
      </w:tr>
      <w:tr>
        <w:tblPrEx>
          <w:tblW w:w="733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21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B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龙山文化时期的许多遗址都发现了大量的陶器堆群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个体手工业大量出现</w:t>
            </w:r>
          </w:p>
        </w:tc>
      </w:tr>
      <w:tr>
        <w:tblPrEx>
          <w:tblW w:w="733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C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良渚古城核心区分为宫庙区、王陵及贵族墓地区、行政</w:t>
            </w:r>
            <w:r>
              <w:rPr>
                <w:rFonts w:ascii="宋体" w:eastAsia="宋体" w:hAnsi="宋体" w:cs="宋体"/>
                <w:color w:val="auto"/>
              </w:rPr>
              <w:t>管理区和贵族居住区等高等级功能区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已具备了国家</w:t>
            </w:r>
            <w:r>
              <w:rPr>
                <w:rFonts w:ascii="宋体" w:eastAsia="宋体" w:hAnsi="宋体" w:cs="宋体"/>
                <w:color w:val="auto"/>
                <w:position w:val="0"/>
              </w:rPr>
              <w:drawing>
                <wp:inline>
                  <wp:extent cx="133350" cy="177800"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/>
                <w:color w:val="auto"/>
              </w:rPr>
              <w:t>初始形态</w:t>
            </w:r>
          </w:p>
        </w:tc>
      </w:tr>
      <w:tr>
        <w:tblPrEx>
          <w:tblW w:w="733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6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D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二里头文化遗址发现钵、豆、鼎、鬲、尊、盆、器、盖、杯缸等器皿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:rsidR="00FC5860" w:rsidRPr="00BE1BCD">
            <w:pPr>
              <w:spacing w:line="360" w:lineRule="auto"/>
              <w:jc w:val="both"/>
            </w:pPr>
            <w:r>
              <w:rPr>
                <w:rFonts w:ascii="宋体" w:eastAsia="宋体" w:hAnsi="宋体" w:cs="宋体"/>
                <w:color w:val="auto"/>
              </w:rPr>
              <w:t>已进入青铜时代</w:t>
            </w:r>
          </w:p>
        </w:tc>
      </w:tr>
    </w:tbl>
    <w:p w:rsidR="00FC5860" w:rsidRPr="00BE1BCD">
      <w:pPr>
        <w:spacing w:line="360" w:lineRule="auto"/>
        <w:jc w:val="both"/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A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B</w:t>
      </w:r>
      <w:r w:rsidRPr="00BE1BCD" w:rsidR="00FC5860">
        <w:tab/>
      </w: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C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《吕氏春秋》记载“择天下之中而立国，择国之中而立宫，择宫之中而立庙”的原则。这一原则体现在宫室建筑中，在二里头时代已经出现，到明清紫禁城的修筑达到极致。据此可知（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儒家思想影响了建筑布局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中正有序的理念渊远流长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古代建筑技术趋向于停滞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祖先崇拜决定了宫室功能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自春秋、战国经秦至西汉前期（武帝以前），士人一直为游士，其社会角色游移不定。自汉武帝时始，“游士”逐渐成为“儒士”，到东汉前期最终演变为活跃在政治舞台上的“士大夫”。导致这一变化的主要因素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社会阶层流动的加速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大一统政局的形成发展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儒学主流地位的确立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选官用人标准发生转变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汉文帝时期，贾谊认为：“天下之势方病大疽，一胫之大几如要，一指之大几如股……众建诸侯而少其力。力少则易使以义，国小则亡邪心。”这表明贾谊主张（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扩大地方权力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郡国并行制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削弱王国力量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实行推恩令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南朝梁萧子显所撰《南齐书》用“魏虏”“索头”等称呼北方鲜卑族等少数民族；而北朝北齐魏收所撰《魏书》则记载“魏所受汉传国玺”，将南朝的宋齐梁三朝称为“岛夷”。上述现象体现了（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历史人物存在不同称谓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史籍体例呈现出多样性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正统观念左右历史编纂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历史认识依靠文献记载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如表反映了唐代江南地区润州、常州、苏州和湖州的户数变化。据此推论（   ）</w:t>
      </w:r>
    </w:p>
    <w:tbl>
      <w:tblPr>
        <w:tblStyle w:val="TableNormal"/>
        <w:tblW w:w="5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60"/>
        <w:gridCol w:w="2662"/>
        <w:gridCol w:w="1113"/>
      </w:tblGrid>
      <w:tr>
        <w:tblPrEx>
          <w:tblW w:w="59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60"/>
        </w:trPr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典籍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时间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户数</w:t>
            </w:r>
          </w:p>
        </w:tc>
      </w:tr>
      <w:tr>
        <w:tblPrEx>
          <w:tblW w:w="595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《旧唐书·地理志》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唐贞观年间（627—649）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72000户</w:t>
            </w:r>
          </w:p>
        </w:tc>
      </w:tr>
      <w:tr>
        <w:tblPrEx>
          <w:tblW w:w="595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60"/>
        </w:trPr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《新唐书·地理志》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唐天宝年间（742—756）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354000户</w:t>
            </w:r>
          </w:p>
        </w:tc>
      </w:tr>
      <w:tr>
        <w:tblPrEx>
          <w:tblW w:w="595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60"/>
        </w:trPr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《元和郡县制》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唐元和年间（806—820）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164000户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政权更替扩大南北经济差距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社会环境影响人口数量变化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北民南迁促进江南经济开发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土地兼并推动赋税制度调整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宋代《吕氏乡约》在当时具有一定的教化影响，但终两宋之世，乡约的推行均未形成大的气候。自明代王守仁以巡抚身份与士绅共同合作，推行《南赣乡约》后，乡约逐渐成为半官方组织在全国范围推广。由此推知，造成这一差异的主要因素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理学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普及范围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经济的发展水平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政府的介入程度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民众的接受意愿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记载元代历史的藏文史书《汉藏史集》中写道：“最初，在玛卡秀雅许的上部，有斯巴的王子名叫亭格，生有三子，即汉、藏、蒙古（霍尔）三者”。由此可知，当时（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大一统思想得到发展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文明起源多样性得到认同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华夏认同的观念形成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中华同源共祖意识的传播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宋朝，儒家学者以理学思想为核心的乡约成为教化百姓的重要方式，如吕大钧撰写《吕氏乡约》；明朝后期乡约则由政府推广，主要宣讲明太祖朱元璋的“六谕”；清朝宣讲内容变成了康熙帝“圣谕十六条”。乡约的变化反映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理学成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58750" cy="19050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官方哲学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皇权加强达到顶峰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儒学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世俗化趋势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皇权借儒学而扩张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尽管乾隆皇帝在各省大力推行严禁烧锅(制酒的作坊)政策，但社会经济的发展使地方督抚很难贯彻这一政策。“因利之所在，人所必趋”“五省之民，执此业者不可胜计”“虽经严禁，终莫能断绝也”。这反映出，清代中前期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传统政策亟需变革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农业生产衰退产生粮食问题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工商皆本观念盛行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中央权威受到地方势力挑战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1860年，曾国藩出任两江总督后，一改以往总督每年可向朝廷举荐任命本省3名府县官员的传统，连续举荐从巡抚到布政史和按察使，直到更低层级官员。各省督抚还可根据自己的需要设立各种名目的“局”“台”“所”，所设机构仅向督抚负责。这一现象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促进了清朝政治制度的变革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推动汉人渐成晚清政治主角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扩大了清朝统治的政治基础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导致官僚机构日益臃肿低效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如图为洋务运动时期大众传媒（画报）介绍西人制作的气球，名为《气球破敌图》。对此图理解准确的是（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4419600" cy="19050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中西结合成为近代绘画新潮流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推动了中国近代科学发展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如实描述了新式气球的先进性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利于启蒙国人的科学意识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下表为</w:t>
      </w:r>
      <w:r>
        <w:rPr>
          <w:rFonts w:ascii="Times New Roman" w:eastAsia="Times New Roman" w:hAnsi="Times New Roman" w:cs="Times New Roman"/>
          <w:color w:val="000000"/>
        </w:rPr>
        <w:t>1915</w:t>
      </w:r>
      <w:r>
        <w:rPr>
          <w:rFonts w:ascii="宋体" w:eastAsia="宋体" w:hAnsi="宋体" w:cs="宋体"/>
          <w:color w:val="000000"/>
        </w:rPr>
        <w:t>年全国钢铁产量及其分布情况，据此可知当时（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42"/>
        <w:gridCol w:w="1322"/>
        <w:gridCol w:w="4476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地区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产量（吨）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备注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湖北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136540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此系汉阳铁厂炼成之铁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奉天（今辽宁）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29530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本溪湖煤铁公司所炼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山西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平定、晋城、高平、盂县、隰县等处土法所炼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湖南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宝庆、茶陵等县土法所炼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四川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涪陵、綦江等县土法所炼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云南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镇雄、剑川、嶍峨等县土法所炼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其余各省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均系土法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总计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310070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其中土铁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144000</w:t>
            </w:r>
            <w:r>
              <w:rPr>
                <w:rFonts w:ascii="宋体" w:eastAsia="宋体" w:hAnsi="宋体" w:cs="宋体"/>
                <w:color w:val="000000"/>
              </w:rPr>
              <w:t>吨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南方重工业发展迅速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民族工业布局合理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钢铁技术地域差异大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钢铁技术普遍落后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1919年7月25日，苏俄政府以副外交人民委员加拉绎的名义发表“对华宣言”，宣布废除中俄间所订之一切密约与协约，放弃帝俄在华所有特权及租界、庚子赔款，将中东铁路及其附属产业无偿归还中国，并希望与中国就此进行谈判。苏俄此举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有利于马列主义在华传播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原因是中国军阀混战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反映出苏俄反对秘密外交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目的是扶持国民革命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黄埔军校第一期毕业生635人中，有湘籍学员182人，其中湘籍共产党员50多人，占黄埔一期共产党员的半数以上。这一现象（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缘自于湖南成为革命中心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确保了土地革命的顺利开展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推动了革命统一战线建立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体现出国共合作的时代风貌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第Ⅱ卷（非选择题共55分）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二、非选择题：本题共4小题，共55分。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阅读材料，完成下列要求：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秦代就有御史监郡的制度，由中央的御史府派御史常驻郡中，监郡御史直接受御史大夫的领导，是在地方工作的中央官。汉初延续了这项制度，但是后来发生了监郡与被监者同流合污，互相包庇的现象。于是，汉文帝又开创了一项新的中央巡视制度——刺史制度。刺史“居无常治”,他的工作方式就是巡行，在巡视中采察政情民情。同监郡御史相比，州部刺史的权力更大，他负责考察地方的政情民意，对郡一级地方长官的行政能力进行赏罚，纠正冤狱。监郡御史是一个御史监一个郡，州部刺史是一个刺史监若干郡。郡守两千石，一方长官；刺史只是六百石的小官，故而“以卑临尊”。在整个权力结构中，刺史独立于地方利益之外，资历又相对较浅，正处于官僚生涯的上升期，因而勇于弹劾，敢于承担责任，保证刺史制的有效性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——赵冬梅《法度与人心——帝制时期人与制度的互动》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据材料和所学知识，说明秦汉时期监察体制的发展历程。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据材料和所学知识，简析汉代刺史制度的特点及历史作用。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唐宋之际，部曲制解体，部曲奴婢转化成农民，靠租佃为生。部曲奴婢等贱民身份的大量改变，使得中古良贱身份制度也无以为继。唐代及其以前，天子只能和世家大族分享权力，君权势弱，世家大族甚至可以罢黜天子。而宋代时，世家大族衰落，尽管天子与士大夫分享权力，但君权却不断强大。唐代乐于接受外来文化，其文化精神及动态是复杂而进取的。宋以后，佛、道、儒等诸家思想趋于融合，渐成一统之局，遂有民族本位文化</w:t>
      </w:r>
      <w:r>
        <w:rPr>
          <w:rFonts w:ascii="Times New Roman" w:eastAsia="Times New Roman" w:hAnsi="Times New Roman" w:cs="Times New Roman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理学的产生，宋以后的文化精神及动态趋向单纯与收敛，渐显保守。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摘编自李华瑞《“唐宋变革”论与唐宋之际的变革》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据材料并结合所学知识，概括唐宋之际社会变革的表现。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据材料并结合所学知识，分析推动唐宋社会变革的原因。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5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  随着《天津条约》改订日期愈加临近，为商讨条约改订，总理衙门于</w:t>
      </w:r>
      <w:r>
        <w:rPr>
          <w:rFonts w:ascii="Times New Roman" w:eastAsia="Times New Roman" w:hAnsi="Times New Roman" w:cs="Times New Roman"/>
          <w:color w:val="000000"/>
        </w:rPr>
        <w:t>1868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楷体" w:eastAsia="楷体" w:hAnsi="楷体" w:cs="楷体"/>
          <w:color w:val="000000"/>
        </w:rPr>
        <w:t>月首次正式向西方国家派出外交使节，以前美国公使蒲安臣为代表的清朝官员一行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楷体" w:eastAsia="楷体" w:hAnsi="楷体" w:cs="楷体"/>
          <w:color w:val="000000"/>
        </w:rPr>
        <w:t>多人正式访问美国和欧洲。蒲安臣使节团如期拜访各国元首，但是，诸如传教、通商、铁路建设、鸦片贩卖、治外法权及中国内陆航运等一系列问题并没有得到解决。使团于</w:t>
      </w:r>
      <w:r>
        <w:rPr>
          <w:rFonts w:ascii="Times New Roman" w:eastAsia="Times New Roman" w:hAnsi="Times New Roman" w:cs="Times New Roman"/>
          <w:color w:val="000000"/>
        </w:rPr>
        <w:t>1870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楷体" w:eastAsia="楷体" w:hAnsi="楷体" w:cs="楷体"/>
          <w:color w:val="000000"/>
        </w:rPr>
        <w:t>月回到北京。蒲安臣使团是中国政府出访欧美的第一个正式外交使团，为中国外交礼仪、机制的近代化奠定了第一块基石。</w:t>
      </w:r>
      <w:r>
        <w:rPr>
          <w:rFonts w:ascii="Times New Roman" w:eastAsia="Times New Roman" w:hAnsi="Times New Roman" w:cs="Times New Roman"/>
          <w:color w:val="000000"/>
        </w:rPr>
        <w:t>1871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楷体" w:eastAsia="楷体" w:hAnsi="楷体" w:cs="楷体"/>
          <w:color w:val="000000"/>
        </w:rPr>
        <w:t>月，明治政府派以岩仓具视为代表的使节团前往美国和欧洲，其规模超过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楷体" w:eastAsia="楷体" w:hAnsi="楷体" w:cs="楷体"/>
          <w:color w:val="000000"/>
        </w:rPr>
        <w:t>人，任务是：第一、向签订条约国元首传递外交文书；第二、提前为修改条约进行协商；第三、调查西方各国制度和文化。其中，为修改条约事先开展的协商，从访问的第一个交涉国美国开始，就已宣告失败。使节团历经两年多时间，相继走访美国和欧洲各国，实地考察了当地近代化政策走向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——摘编自王建朗、黄克武主编《两岸新编中国近代史·晚清卷（下）》等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据材料，指出中日两国使节团出访的异同。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据材料并结合所学知识，说明中日使节团出访对各自国家发展的影响。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  下图是马星驰1919年在上海《新闻报》上发表的一幅政治漫画。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514725" cy="260032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提取材料中的信息并结合所学知识，写一篇历史短文。（要求：主题明确，史论结合，逻辑严谨，表述成文）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/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numbering" Target="numbering.xml"/><Relationship Id="rId14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