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09178D" w:rsidP="0009178D">
      <w:pPr>
        <w:ind w:firstLine="42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10744200</wp:posOffset>
            </wp:positionV>
            <wp:extent cx="431800" cy="4318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178D" w:rsidRPr="00354583" w:rsidP="0009178D">
      <w:pPr>
        <w:widowControl/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ascii="宋体" w:hAnsi="宋体"/>
          <w:b/>
          <w:sz w:val="28"/>
          <w:szCs w:val="28"/>
        </w:rPr>
      </w:pPr>
      <w:r w:rsidRPr="00354583">
        <w:rPr>
          <w:rFonts w:ascii="宋体" w:hAnsi="宋体" w:hint="eastAsia"/>
          <w:b/>
          <w:spacing w:val="-4"/>
          <w:sz w:val="28"/>
          <w:szCs w:val="28"/>
        </w:rPr>
        <w:t>2024/2025</w:t>
      </w:r>
      <w:r w:rsidR="00B47918">
        <w:rPr>
          <w:rFonts w:ascii="宋体" w:hAnsi="宋体" w:hint="eastAsia"/>
          <w:b/>
          <w:spacing w:val="-4"/>
          <w:sz w:val="28"/>
          <w:szCs w:val="28"/>
        </w:rPr>
        <w:t>学年度第一学期联盟校第一次学情调研检测高三</w:t>
      </w:r>
      <w:r w:rsidRPr="00354583">
        <w:rPr>
          <w:rFonts w:ascii="宋体" w:hAnsi="宋体" w:hint="eastAsia"/>
          <w:b/>
          <w:spacing w:val="-4"/>
          <w:sz w:val="28"/>
          <w:szCs w:val="28"/>
        </w:rPr>
        <w:t>年级</w:t>
      </w:r>
    </w:p>
    <w:p w:rsidR="0009178D" w:rsidRPr="00354583" w:rsidP="0009178D">
      <w:pPr>
        <w:ind w:firstLine="420"/>
        <w:jc w:val="center"/>
        <w:textAlignment w:val="center"/>
        <w:rPr>
          <w:rFonts w:ascii="宋体" w:hAnsi="宋体"/>
          <w:b/>
          <w:color w:val="000000"/>
        </w:rPr>
      </w:pPr>
      <w:r w:rsidRPr="00354583">
        <w:rPr>
          <w:rFonts w:ascii="宋体" w:hAnsi="宋体" w:hint="eastAsia"/>
          <w:b/>
          <w:spacing w:val="-4"/>
          <w:sz w:val="28"/>
          <w:szCs w:val="28"/>
        </w:rPr>
        <w:t>语文参考答案及评分标准</w:t>
      </w:r>
    </w:p>
    <w:p w:rsidR="0009178D" w:rsidP="0009178D">
      <w:pPr>
        <w:ind w:firstLine="420"/>
        <w:jc w:val="left"/>
        <w:textAlignment w:val="center"/>
        <w:rPr>
          <w:rFonts w:ascii="宋体" w:hAnsi="宋体"/>
          <w:color w:val="000000"/>
        </w:rPr>
      </w:pPr>
    </w:p>
    <w:p w:rsidR="0009178D" w:rsidP="0009178D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一、现代文阅读1（本题共5小题，19分）</w:t>
      </w:r>
    </w:p>
    <w:p w:rsidR="0009178D" w:rsidP="0009178D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1.C（“这种想法普遍存在于农民的思想意识中”说法错误，原文为“文化落后的中国农民至今还存着这种心理”）</w:t>
      </w:r>
    </w:p>
    <w:p w:rsidR="0009178D" w:rsidP="0009178D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2.A（“必须要走出门”说法错误，原文说“可以召集那些明了情况的人来开个调查会”）</w:t>
      </w:r>
    </w:p>
    <w:p w:rsidR="0009178D" w:rsidP="0009178D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3.D（D项核心内容为“为人民服务”，与原文的群众路线不符）</w:t>
      </w:r>
    </w:p>
    <w:p w:rsidR="0009178D" w:rsidP="0009178D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4.答：①第一处采取短句形式和反复的方式。短句，言简意赅，简洁有力；反复，两个“要不得”连用，一针见血地亮明观点，语气坚定。②第二处采取了比喻句的方式。比喻句形象生动地论证了调查研究与解决问题的关系——调查研究是解决问题、破解矛盾的必由之路。（每点2分，共4分。如从感叹句、单独成段角度言之成理也可得分）</w:t>
      </w:r>
    </w:p>
    <w:p w:rsidR="0009178D" w:rsidP="0009178D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5.答：①表达自己观点和看法，要以调查研究为前提。</w:t>
      </w:r>
    </w:p>
    <w:p w:rsidR="0009178D" w:rsidP="0009178D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②深入群众，在调查研究中解决问题。</w:t>
      </w:r>
    </w:p>
    <w:p w:rsidR="0009178D" w:rsidP="0009178D">
      <w:pPr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③处理问题要根据实际情况，不唯书，不唯上。（每点2分，共6分，意思对即可）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6. C “两次……却充满了生命力的青春气概和斗争精神”错，第二次外貌描写“老人的形象似乎又出现了：古铜色的脸膛，满顶花白头发。他人虽然死了，他的形象却更清晰、更高大，活生生地刻印在李排长的心中、杨香武的心中，以及每个骑兵的心中”，表现人们对庆爷爷的深切怀念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故选</w:t>
      </w: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C</w:t>
      </w:r>
      <w:r>
        <w:rPr>
          <w:rFonts w:asciiTheme="minorEastAsia" w:eastAsiaTheme="minorEastAsia" w:hAnsiTheme="minorEastAsia" w:hint="eastAsia"/>
          <w:color w:val="000000"/>
          <w:szCs w:val="21"/>
        </w:rPr>
        <w:t>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7. C  “已习以为常，不再感到悲伤”错，句子③中的“送了命”是当地人的口头语，句中“他老人家”表现了那农民对庆爷爷的尊敬。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故选</w:t>
      </w: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C</w:t>
      </w:r>
      <w:r>
        <w:rPr>
          <w:rFonts w:asciiTheme="minorEastAsia" w:eastAsiaTheme="minorEastAsia" w:hAnsiTheme="minorEastAsia" w:hint="eastAsia"/>
          <w:color w:val="000000"/>
          <w:szCs w:val="21"/>
        </w:rPr>
        <w:t>。</w:t>
      </w:r>
    </w:p>
    <w:p w:rsidR="0009178D" w:rsidP="0009178D">
      <w:pPr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8. （</w:t>
      </w: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1</w:t>
      </w:r>
      <w:r>
        <w:rPr>
          <w:rFonts w:asciiTheme="minorEastAsia" w:eastAsiaTheme="minorEastAsia" w:hAnsiTheme="minorEastAsia" w:hint="eastAsia"/>
          <w:color w:val="000000"/>
          <w:szCs w:val="21"/>
        </w:rPr>
        <w:t>）举例：①上文写“堤上放着两盏灯”“一个农民很大意说”为后文写敌人发现部队渡河，“传来爆炸的声响”以及庆爷爷的死埋下伏笔；②上文写庆爷爷送别部队时说“你们走啦？回头可来呀”为后文写部队回来了解到庆爷爷的死埋下伏笔。（</w:t>
      </w: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2</w:t>
      </w:r>
      <w:r>
        <w:rPr>
          <w:rFonts w:asciiTheme="minorEastAsia" w:eastAsiaTheme="minorEastAsia" w:hAnsiTheme="minorEastAsia" w:hint="eastAsia"/>
          <w:color w:val="000000"/>
          <w:szCs w:val="21"/>
        </w:rPr>
        <w:t>）效果：①容易把事情说得更加清楚完整，思路更加明确；②使小说结构严谨，全文形成了一个有机的整体。</w:t>
      </w:r>
    </w:p>
    <w:p w:rsidR="0009178D" w:rsidP="0009178D">
      <w:pPr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9. ①庆爷爷亲自安排部队过河的事情，百姓们主动为部队提供粮草，体现了百姓是人民队伍的强大后盾；②庆爷爷牺牲后，战士们化悲痛为力量，奋勇前行，体现了平凡百姓给人民队伍带来伟大的力量；③李排长要给粮票和钱，关心百姓的安危，体现了人民队伍为人民。这些情节都很好地体现了“庶民者，国之本”思想。</w:t>
      </w:r>
    </w:p>
    <w:p w:rsidR="0009178D" w:rsidP="0009178D">
      <w:pPr>
        <w:textAlignment w:val="center"/>
        <w:rPr>
          <w:rFonts w:asciiTheme="minorEastAsia" w:eastAsiaTheme="minorEastAsia" w:hAnsiTheme="minorEastAsia" w:cs="Times New Roman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 xml:space="preserve">10. </w:t>
      </w: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BDG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句意：金日磾在汉武帝身边，几十年从不看他不该看的东西；赐给他宫女，他也不敢亲近。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“日磾在上左右”，主谓宾俱全，“在”的宾语是“上左右”，句意完整，</w:t>
      </w: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B</w:t>
      </w:r>
      <w:r>
        <w:rPr>
          <w:rFonts w:asciiTheme="minorEastAsia" w:eastAsiaTheme="minorEastAsia" w:hAnsiTheme="minorEastAsia" w:hint="eastAsia"/>
          <w:color w:val="000000"/>
          <w:szCs w:val="21"/>
        </w:rPr>
        <w:t>处断开；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“目不忤视者数十年”“赐出宫女”“不敢近”三句的主语分别为“金日磾”“皇上”“金日磾”，各自单独成句，</w:t>
      </w: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DG</w:t>
      </w:r>
      <w:r>
        <w:rPr>
          <w:rFonts w:asciiTheme="minorEastAsia" w:eastAsiaTheme="minorEastAsia" w:hAnsiTheme="minorEastAsia" w:hint="eastAsia"/>
          <w:color w:val="000000"/>
          <w:szCs w:val="21"/>
        </w:rPr>
        <w:t>处断开。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故</w:t>
      </w: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BDG</w:t>
      </w:r>
      <w:r>
        <w:rPr>
          <w:rFonts w:asciiTheme="minorEastAsia" w:eastAsiaTheme="minorEastAsia" w:hAnsiTheme="minorEastAsia" w:hint="eastAsia"/>
          <w:color w:val="000000"/>
          <w:szCs w:val="21"/>
        </w:rPr>
        <w:t>三处需要断句。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 xml:space="preserve">11. D  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A.</w:t>
      </w:r>
      <w:r>
        <w:rPr>
          <w:rFonts w:asciiTheme="minorEastAsia" w:eastAsiaTheme="minorEastAsia" w:hAnsiTheme="minorEastAsia" w:hint="eastAsia"/>
          <w:color w:val="000000"/>
          <w:szCs w:val="21"/>
        </w:rPr>
        <w:t>正确。句意：霍光叩头谦让说。/他说话不谦让。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B.</w:t>
      </w:r>
      <w:r>
        <w:rPr>
          <w:rFonts w:asciiTheme="minorEastAsia" w:eastAsiaTheme="minorEastAsia" w:hAnsiTheme="minorEastAsia" w:hint="eastAsia"/>
          <w:color w:val="000000"/>
          <w:szCs w:val="21"/>
        </w:rPr>
        <w:t>正确。谢罪/辞别，告别。句意：金日磾叩头谢罪。/我辞别娘家嫁到你府上。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C.</w:t>
      </w:r>
      <w:r>
        <w:rPr>
          <w:rFonts w:asciiTheme="minorEastAsia" w:eastAsiaTheme="minorEastAsia" w:hAnsiTheme="minorEastAsia" w:hint="eastAsia"/>
          <w:color w:val="000000"/>
          <w:szCs w:val="21"/>
        </w:rPr>
        <w:t>正确。交付/下级的、下面的。句意：便要将上官桀逮捕下狱。/把自己的性命交给下级官吏。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D.</w:t>
      </w:r>
      <w:r>
        <w:rPr>
          <w:rFonts w:asciiTheme="minorEastAsia" w:eastAsiaTheme="minorEastAsia" w:hAnsiTheme="minorEastAsia" w:hint="eastAsia"/>
          <w:color w:val="000000"/>
          <w:szCs w:val="21"/>
        </w:rPr>
        <w:t>错误。连词，表修饰/连词，表转折。句意：是为了什么而哭泣呢。/我只用精神去和牛接触，而不用眼睛去看。</w:t>
      </w:r>
    </w:p>
    <w:p w:rsidR="0009178D" w:rsidP="0009178D">
      <w:pPr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12. C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“能辨识君子却看不出上官桀是小人”错误，原文为“武帝以待光、日磾者待桀，不知桀也，且不知光、日磾也”，可见王夫之认为武帝不能识人，不能辨识君子和小人。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13. （</w:t>
      </w: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1</w:t>
      </w:r>
      <w:r>
        <w:rPr>
          <w:rFonts w:asciiTheme="minorEastAsia" w:eastAsiaTheme="minorEastAsia" w:hAnsiTheme="minorEastAsia" w:hint="eastAsia"/>
          <w:color w:val="000000"/>
          <w:szCs w:val="21"/>
        </w:rPr>
        <w:t>）汉武帝认为上官桀爱自己，因此与他亲近，任命他为侍中，他逐渐升到太仆。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（</w:t>
      </w: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2</w:t>
      </w:r>
      <w:r>
        <w:rPr>
          <w:rFonts w:asciiTheme="minorEastAsia" w:eastAsiaTheme="minorEastAsia" w:hAnsiTheme="minorEastAsia" w:hint="eastAsia"/>
          <w:color w:val="000000"/>
          <w:szCs w:val="21"/>
        </w:rPr>
        <w:t>）忠诚和奸邪也是容易分辨的，但是如果心思和行动相违背，那么即使站在他们面前的人也容易被迷惑。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补充：（1）“由是”，由此，因此；“为”，任命；“稍”，逐渐。</w:t>
      </w:r>
    </w:p>
    <w:p w:rsidR="0009178D" w:rsidP="0009178D">
      <w:pPr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（2）“心”，心思；“迹”，行动；“惑”含被动，被迷惑。</w:t>
      </w:r>
    </w:p>
    <w:p w:rsidR="0009178D" w:rsidP="0009178D">
      <w:pPr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14. ①上官桀并非与国家同休戚的忠臣，他的职位只是厩令，职责在于管理马匹，他的流泪并不真诚。</w:t>
      </w:r>
    </w:p>
    <w:p w:rsidR="0009178D" w:rsidP="0009178D">
      <w:pPr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②上官桀在武帝面前流泪，是为了迎合武帝的喜怒哀乐，表现出小人的特征。</w:t>
      </w:r>
    </w:p>
    <w:p w:rsidR="0009178D" w:rsidP="0009178D">
      <w:pPr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③上官桀的行为是为了畏罪徼宠，而不是出于忠诚。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参考译文：</w:t>
      </w: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       </w:t>
      </w:r>
    </w:p>
    <w:p w:rsidR="0009178D" w:rsidP="0009178D">
      <w:pPr>
        <w:ind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cs="楷体" w:hint="eastAsia"/>
          <w:color w:val="000000"/>
          <w:szCs w:val="21"/>
        </w:rPr>
        <w:t>材料一：</w:t>
      </w:r>
    </w:p>
    <w:p w:rsidR="0009178D" w:rsidP="0009178D">
      <w:pPr>
        <w:ind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cs="楷体" w:hint="eastAsia"/>
          <w:color w:val="000000"/>
          <w:szCs w:val="21"/>
        </w:rPr>
        <w:t>汉武帝病重，霍光哭着问道：“如果陛下不幸仙逝，应当由谁继承皇位呢？”汉武帝说：“你难道没有理解先前赐给你的那幅画的含意吗？立我最小的儿子，由你担任周公的角色。”霍光叩头谦让说：“我不如金日磾！”金日磾也说：“我，是外国人，不如霍光；况且由我辅政，会使匈奴轻视我大汉！”乙丑日，汉武帝颁布诏书，立刘弗陵为皇太子，时年八岁。丙寅日，汉武帝任命霍光为大司马、大将军，金日磾为车骑将军，太仆上官桀为左将军，由他们三人接受遗诏，辅佐幼主。又任命搜粟都尉桑弘羊为御史大夫，他们都拜伏在卧室内的床下。霍光出入宫廷二十余年，出外则陪同汉武帝乘车，入宫则侍奉在汉武帝的左右，小心谨慎，从未有过什么过失。他为人沉静仔细，他每次出入宫廷，经过下殿门，止步和前进都有一定的地方。郎官、仆射们在暗中观察、默记，发现他尺寸不差。金日磾在汉武帝身边，几十年从不看他不该看的东西；赐给他宫女，他也不敢亲近；汉武帝想将他女儿纳为后宫嫔妃，他也不肯；其诚笃谨慎如此，汉武帝感到特别奇异。日磾的长子是汉武帝的玩童，很受宠爱，长大后行为不检点，在殿下调戏宫女。且磾正好看到这个情况，非常厌恶儿子的淫乱行为，于是将他杀死。汉武帝勃然大怒，金日磾叩头谢罪，详细陈述了杀死其子的原因。汉武帝深感悲哀，为此落下眼泪，后来对日磾却由衷敬重。上官桀开始因膂力过人而得到汉武帝的赏识，被任命为未央厩令；有一次，汉武帝感到身体不舒服，等到痊愈后，检查御马，发现马匹大多瘦弱，于是汉武帝大发雷霆，说：“厩令认为我再也看不到这些马了吗！”便要将上官桀逮捕下狱。上官桀叩头说：“我听说皇上圣体欠安，日夜忧愁害怕，实在没心思照料马匹。”话未说完，已经流下几行眼泪。汉武帝认为上官桀爱自己，因此与他亲近，任命他为侍中，他逐渐升到太仆。霍光、金日磾、上官桀三人都是汉武帝平时宠爱信任的人，所以特意提拔他们，将自己死后之事托付给他们。丁卯日，汉武帝在五柞宫驾崩；遗体运到未央宫前殿入殓。</w:t>
      </w:r>
    </w:p>
    <w:p w:rsidR="0009178D" w:rsidP="0009178D">
      <w:pPr>
        <w:ind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cs="楷体" w:hint="eastAsia"/>
          <w:color w:val="000000"/>
          <w:szCs w:val="21"/>
        </w:rPr>
        <w:t>材料二：</w:t>
      </w:r>
    </w:p>
    <w:p w:rsidR="0009178D" w:rsidP="0009178D">
      <w:pPr>
        <w:ind w:firstLine="42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cs="楷体" w:hint="eastAsia"/>
          <w:color w:val="000000"/>
          <w:szCs w:val="21"/>
        </w:rPr>
        <w:t>忠诚和奸邪也是容易分辨的，但是如果心思和行动相违背，那么即使站在他们面前的人也容易被迷惑。被汉武帝委托辅佐幼君的大臣有三位，其中上官桀是后来谋反的祸首，他与霍光、金日磾的区别就像是黑色与纯白色一样。从他们得到汉武帝赏识的起因来看，其行迹区别显而易见，而其内心也由此显现出来。霍光和金日磾并不是为了奉迎皇帝的喜好而这么做的，而是自己督促自己的行为，从不失正道。上官桀被武帝责备马变瘦了时谢罪说：“我听说皇上身体不适，因而日夜担忧恐惧，心思没有用在马身上。”话还没说完，就流下了数行眼泪。上官桀并不是参与国家安危大计的重臣，厩令的职责，就是养好、管理好马匹，他的哭泣，是为了什么而哭泣呢？谨慎地洁身自好的人，是君子；奸邪地取悦别人的人，是小人。君子知道自己的人格和价值，所以即使把他投进广阔无垠的天地之间，也只是牢记自己不可以失去本来面目，竭力保持自我；小人害怕得罪、喜欢邀宠，善于迎合别人的喜怒哀乐，而忘记了自己的人格和尊严。由此看来，忠诚和奸邪不能相互混杂已经很久了。霍光与金日磾天性相近，只是不学无术罢了，奸邪的上官桀哪里有资格能与他们相提并论呢？汉武帝用对待霍光、金日磾的方式对待上官桀，说明他不了解上官桀，也不真正了解霍光和金日磾。知人的难处，在于常人只是以自己的角度看别人，而不知从对方的立身之道观察他。</w:t>
      </w:r>
    </w:p>
    <w:p w:rsidR="0009178D" w:rsidP="0009178D">
      <w:pPr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15. B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cs="Times New Roman" w:hint="eastAsia"/>
          <w:color w:val="000000"/>
          <w:szCs w:val="21"/>
        </w:rPr>
        <w:t>B.</w:t>
      </w:r>
      <w:r>
        <w:rPr>
          <w:rFonts w:asciiTheme="minorEastAsia" w:eastAsiaTheme="minorEastAsia" w:hAnsiTheme="minorEastAsia" w:hint="eastAsia"/>
          <w:color w:val="000000"/>
          <w:szCs w:val="21"/>
        </w:rPr>
        <w:t>“彼此都闲得无聊，也没有人理睬他们”错，“苍发彼此老，白日寻常闲”是说他们都已年老，日子过得平淡悠闲，并非无聊和无人理睬。</w:t>
      </w:r>
    </w:p>
    <w:p w:rsidR="0009178D" w:rsidP="0009178D">
      <w:pPr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16. ①叙事抒情结合，诗人通过叙述与苏少府相见、相送、论心、携手出游等具体情节，表达了他们之间的深厚情谊。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②细节描写，如“论心杯酒间”、“朝从携手出，暮思联骑还”等细节，生动地展现了他们相处的融洽与亲密。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③虚实结合，如“何当挈一榼，同宿龙门山”，诗人想象有朝一日与苏少府共度时光的愿望，进一步凸显了他们之间的深厚情谊。</w:t>
      </w:r>
    </w:p>
    <w:p w:rsidR="0009178D" w:rsidP="0009178D">
      <w:pPr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 xml:space="preserve">  17、（1）大道之行也    天下为公  </w:t>
      </w:r>
    </w:p>
    <w:p w:rsidR="0009178D" w:rsidP="0009178D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（2）银瓶乍破水浆迸，铁骑突出刀枪鸣。</w:t>
      </w:r>
    </w:p>
    <w:p w:rsidR="0009178D" w:rsidP="0009178D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（3）（示例）千里之行，始于足下/不积小流，无以成江海/不积跬步，无以至千里/太山不让土壤，故能成其大/河海不择细流，故能就其深···</w:t>
      </w:r>
    </w:p>
    <w:p w:rsidR="0009178D" w:rsidP="0009178D">
      <w:pPr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color w:val="000000"/>
          <w:szCs w:val="21"/>
        </w:rPr>
        <w:t>三、语言文字运用(20分)</w:t>
      </w:r>
    </w:p>
    <w:p w:rsidR="0009178D" w:rsidP="0009178D">
      <w:pPr>
        <w:spacing w:before="10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color w:val="000000"/>
          <w:szCs w:val="21"/>
        </w:rPr>
        <w:t>18.①将“不仅”移至“图书馆”后④“成为”前加“使其”(4分)</w:t>
      </w:r>
    </w:p>
    <w:p w:rsidR="0009178D" w:rsidP="0009178D">
      <w:pPr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color w:val="000000"/>
          <w:szCs w:val="21"/>
        </w:rPr>
        <w:t>19.6个数字连用，体现台阶之多，有拾级而上的画面感，有亲切诙谐的意味。(3分)</w:t>
      </w:r>
    </w:p>
    <w:p w:rsidR="0009178D" w:rsidP="0009178D">
      <w:pPr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color w:val="000000"/>
          <w:szCs w:val="21"/>
        </w:rPr>
        <w:t>20.示例一：仿得好。巧妙借用原词的意义，契合文中情境；给人新鲜活泼的感觉。</w:t>
      </w:r>
    </w:p>
    <w:p w:rsidR="0009178D" w:rsidP="0009178D">
      <w:pPr>
        <w:ind w:left="220" w:right="80" w:firstLine="6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color w:val="000000"/>
          <w:szCs w:val="21"/>
        </w:rPr>
        <w:t>示例二：仿得不好。原词中的“望洋”为联绵词，本义为仰视的样子。而“望阶”是动宾短语，仿词是对原词的错误解读。(4分)</w:t>
      </w:r>
    </w:p>
    <w:p w:rsidR="0009178D" w:rsidP="0009178D">
      <w:pPr>
        <w:spacing w:before="10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color w:val="000000"/>
          <w:szCs w:val="21"/>
        </w:rPr>
        <w:t>21.B</w:t>
      </w:r>
    </w:p>
    <w:p w:rsidR="0009178D" w:rsidP="0009178D">
      <w:pPr>
        <w:rPr>
          <w:rFonts w:asciiTheme="minorEastAsia" w:eastAsiaTheme="minorEastAsia" w:hAnsiTheme="minorEastAsia"/>
          <w:bCs/>
          <w:color w:val="000000"/>
          <w:szCs w:val="21"/>
        </w:rPr>
      </w:pPr>
      <w:r>
        <w:rPr>
          <w:rFonts w:asciiTheme="minorEastAsia" w:eastAsiaTheme="minorEastAsia" w:hAnsiTheme="minorEastAsia" w:hint="eastAsia"/>
          <w:bCs/>
          <w:color w:val="000000"/>
          <w:szCs w:val="21"/>
        </w:rPr>
        <w:t>22.①这是敬畏感在发挥作用②天空变得很大很大③也要和身边的自然建立联系。(6分)</w:t>
      </w:r>
    </w:p>
    <w:p w:rsidR="0009178D" w:rsidP="0009178D">
      <w:pPr>
        <w:adjustRightInd w:val="0"/>
        <w:snapToGrid w:val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23.写作提示：</w:t>
      </w:r>
    </w:p>
    <w:p w:rsidR="0009178D" w:rsidP="0009178D">
      <w:pPr>
        <w:adjustRightInd w:val="0"/>
        <w:snapToGrid w:val="0"/>
        <w:ind w:firstLine="420" w:firstLineChars="2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这是一篇材料作文，材料由两句话组成。第一句话聚焦于自媒体迅猛发展这一社会现象；第二句话抛出关键问题——自媒体是不是让人们离真相越来越近？要求考生对此展开的联想与思考。本试题具有弹性与开放性特点。</w:t>
      </w:r>
    </w:p>
    <w:p w:rsidR="0009178D" w:rsidP="0009178D">
      <w:pPr>
        <w:adjustRightInd w:val="0"/>
        <w:snapToGrid w:val="0"/>
        <w:ind w:firstLine="420" w:firstLineChars="2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写作时，首先要直面问题——我们是不是离真相越来越近？</w:t>
      </w:r>
    </w:p>
    <w:p w:rsidR="0009178D" w:rsidP="0009178D">
      <w:pPr>
        <w:adjustRightInd w:val="0"/>
        <w:snapToGrid w:val="0"/>
        <w:ind w:firstLine="420" w:firstLineChars="2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可以从肯定角度来写。相对于传统媒体的千篇一律，自媒体给人们带来自由表达的舞台，人们可以从不同角度对同一个事物进行发散性思考，引导人们更全面去看待问题，再通过分析和探索得知事情的真相，这让人们离真相越来越近。</w:t>
      </w:r>
    </w:p>
    <w:p w:rsidR="0009178D" w:rsidP="0009178D">
      <w:pPr>
        <w:adjustRightInd w:val="0"/>
        <w:snapToGrid w:val="0"/>
        <w:ind w:firstLine="420" w:firstLineChars="2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也可否定这一观点：自媒体时代，人人都可以是信息发布者，却不是人人都具有相应的道德素养，有人仅凭个人经验主观臆断，有人将自媒体当成情感宣泄的出口，加之流量经济的裹挟，自媒体并非单纯以报道真实事件为目的，造成了信息的真实有效性大打折扣，使得人们远离事件原貌。</w:t>
      </w:r>
    </w:p>
    <w:p w:rsidR="0009178D" w:rsidP="0009178D">
      <w:r>
        <w:rPr>
          <w:rFonts w:asciiTheme="minorEastAsia" w:eastAsiaTheme="minorEastAsia" w:hAnsiTheme="minorEastAsia" w:hint="eastAsia"/>
          <w:szCs w:val="21"/>
        </w:rPr>
        <w:t>行文时，可选择议论文文体，并在作文中展现自己辩证的思考。可以针对自媒体发展过程中的优势和问题加以评说，也可以围绕如何对待自媒体发展展开论述（如用提升人们的道德修养，加强行业规范等），体现出自己的创新思维；还可以在文中畅想自媒体的发展，提出发展的建议等等。</w:t>
      </w:r>
    </w:p>
    <w:p w:rsidR="004D71A3" w:rsidRPr="0009178D" w:rsidP="0009178D"/>
    <w:sectPr w:rsidSect="003C57DD">
      <w:headerReference w:type="default" r:id="rId6"/>
      <w:footerReference w:type="default" r:id="rId7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78E" w:rsidP="0090278E">
    <w:pPr>
      <w:jc w:val="center"/>
    </w:pPr>
    <w:r>
      <w:t>第</w:t>
    </w:r>
    <w:r w:rsidR="00542EAC">
      <w:fldChar w:fldCharType="begin"/>
    </w:r>
    <w:r>
      <w:instrText>PAGE</w:instrText>
    </w:r>
    <w:r w:rsidR="00542EAC">
      <w:fldChar w:fldCharType="separate"/>
    </w:r>
    <w:r w:rsidR="00B47918">
      <w:rPr>
        <w:noProof/>
      </w:rPr>
      <w:t>1</w:t>
    </w:r>
    <w:r w:rsidR="00542EAC">
      <w:fldChar w:fldCharType="end"/>
    </w:r>
    <w:r>
      <w:t>页</w:t>
    </w:r>
    <w:r>
      <w:t>/</w:t>
    </w:r>
    <w:r>
      <w:t>共</w:t>
    </w:r>
    <w:r w:rsidR="00542EAC">
      <w:fldChar w:fldCharType="begin"/>
    </w:r>
    <w:r>
      <w:instrText>NUMPAGES</w:instrText>
    </w:r>
    <w:r w:rsidR="00542EAC">
      <w:fldChar w:fldCharType="separate"/>
    </w:r>
    <w:r w:rsidR="00B47918">
      <w:rPr>
        <w:noProof/>
      </w:rPr>
      <w:t>3</w:t>
    </w:r>
    <w:r w:rsidR="00542EAC">
      <w:fldChar w:fldCharType="end"/>
    </w:r>
    <w:r>
      <w:t>页</w:t>
    </w:r>
  </w:p>
  <w:p w:rsidR="0090278E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8240" o:allowincell="f" stroked="f">
          <v:fill opacity="0.5"/>
          <v:textpath style="font-family:宋体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59264">
          <v:imagedata r:id="rId1" o:title="{75232B38-A165-1FB7-499C-2E1C792CACB5}"/>
        </v:shape>
      </w:pict>
    </w:r>
    <w:r w:rsidR="00453949"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P="006F7486">
    <w:pPr>
      <w:pStyle w:val="Header"/>
      <w:pBdr>
        <w:bottom w:val="none" w:sz="0" w:space="0" w:color="auto"/>
      </w:pBdr>
      <w:rPr>
        <w:rFonts w:cs="Times New Roman"/>
        <w:kern w:val="0"/>
        <w:sz w:val="2"/>
        <w:szCs w:val="2"/>
      </w:rPr>
    </w:pPr>
    <w:r>
      <w:rPr>
        <w:sz w:val="2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>
          <v:imagedata r:id="rId1" o:title="{75232B38-A165-1FB7-499C-2E1C792CACB5}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A9E32B3"/>
    <w:multiLevelType w:val="singleLevel"/>
    <w:tmpl w:val="FA9E32B3"/>
    <w:lvl w:ilvl="0">
      <w:start w:val="2"/>
      <w:numFmt w:val="upperLetter"/>
      <w:lvlText w:val="%1."/>
      <w:lvlJc w:val="left"/>
      <w:pPr>
        <w:tabs>
          <w:tab w:val="num" w:pos="312"/>
        </w:tabs>
      </w:pPr>
    </w:lvl>
  </w:abstractNum>
  <w:abstractNum w:abstractNumId="1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0E3A5BB"/>
    <w:multiLevelType w:val="singleLevel"/>
    <w:tmpl w:val="40E3A5BB"/>
    <w:lvl w:ilvl="0">
      <w:start w:val="9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4F40007B"/>
    <w:multiLevelType w:val="singleLevel"/>
    <w:tmpl w:val="4F40007B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5A9979FF"/>
    <w:multiLevelType w:val="hybridMultilevel"/>
    <w:tmpl w:val="071AAD8E"/>
    <w:lvl w:ilvl="0">
      <w:start w:val="1"/>
      <w:numFmt w:val="japaneseCounting"/>
      <w:lvlText w:val="（%1）"/>
      <w:lvlJc w:val="left"/>
      <w:pPr>
        <w:ind w:left="1470" w:hanging="10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605B9EB0"/>
    <w:multiLevelType w:val="singleLevel"/>
    <w:tmpl w:val="605B9EB0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7DF2"/>
    <w:rsid w:val="00005EBC"/>
    <w:rsid w:val="00016BFA"/>
    <w:rsid w:val="000460FF"/>
    <w:rsid w:val="00054E7B"/>
    <w:rsid w:val="0009178D"/>
    <w:rsid w:val="000E4D02"/>
    <w:rsid w:val="00171458"/>
    <w:rsid w:val="00173C1D"/>
    <w:rsid w:val="001764C3"/>
    <w:rsid w:val="0018010E"/>
    <w:rsid w:val="00191C29"/>
    <w:rsid w:val="001C2AC1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2F5D1B"/>
    <w:rsid w:val="003102DB"/>
    <w:rsid w:val="00354583"/>
    <w:rsid w:val="00360978"/>
    <w:rsid w:val="00392E39"/>
    <w:rsid w:val="003B0E8C"/>
    <w:rsid w:val="003C1968"/>
    <w:rsid w:val="003C4A95"/>
    <w:rsid w:val="003C57DD"/>
    <w:rsid w:val="003D0C09"/>
    <w:rsid w:val="004062F6"/>
    <w:rsid w:val="004151FC"/>
    <w:rsid w:val="00435F83"/>
    <w:rsid w:val="00453949"/>
    <w:rsid w:val="0046214C"/>
    <w:rsid w:val="0049183B"/>
    <w:rsid w:val="004D44FD"/>
    <w:rsid w:val="004D71A3"/>
    <w:rsid w:val="00542EAC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C4D4B"/>
    <w:rsid w:val="006D5DE9"/>
    <w:rsid w:val="006F45E0"/>
    <w:rsid w:val="006F7486"/>
    <w:rsid w:val="00701D6B"/>
    <w:rsid w:val="007061B2"/>
    <w:rsid w:val="00740A09"/>
    <w:rsid w:val="00762E26"/>
    <w:rsid w:val="00767F31"/>
    <w:rsid w:val="00817391"/>
    <w:rsid w:val="00832EC9"/>
    <w:rsid w:val="008428D5"/>
    <w:rsid w:val="008634CD"/>
    <w:rsid w:val="008731FA"/>
    <w:rsid w:val="00880A38"/>
    <w:rsid w:val="00893DD6"/>
    <w:rsid w:val="008D2E94"/>
    <w:rsid w:val="008E62AD"/>
    <w:rsid w:val="0090278E"/>
    <w:rsid w:val="00974E0F"/>
    <w:rsid w:val="00976274"/>
    <w:rsid w:val="00982128"/>
    <w:rsid w:val="009A27BF"/>
    <w:rsid w:val="009B5666"/>
    <w:rsid w:val="009C4252"/>
    <w:rsid w:val="009E203F"/>
    <w:rsid w:val="00A07DF2"/>
    <w:rsid w:val="00A25705"/>
    <w:rsid w:val="00A405DB"/>
    <w:rsid w:val="00A50064"/>
    <w:rsid w:val="00A536B0"/>
    <w:rsid w:val="00AD6B6A"/>
    <w:rsid w:val="00B47918"/>
    <w:rsid w:val="00B80D67"/>
    <w:rsid w:val="00B8100F"/>
    <w:rsid w:val="00B96924"/>
    <w:rsid w:val="00BA1A7E"/>
    <w:rsid w:val="00BB50C6"/>
    <w:rsid w:val="00BE1BCD"/>
    <w:rsid w:val="00C02815"/>
    <w:rsid w:val="00C02FC6"/>
    <w:rsid w:val="00C252C1"/>
    <w:rsid w:val="00C321EB"/>
    <w:rsid w:val="00C63ECB"/>
    <w:rsid w:val="00C97268"/>
    <w:rsid w:val="00CA4A07"/>
    <w:rsid w:val="00D51257"/>
    <w:rsid w:val="00D634C2"/>
    <w:rsid w:val="00D756B6"/>
    <w:rsid w:val="00D77F6E"/>
    <w:rsid w:val="00DA0796"/>
    <w:rsid w:val="00DA5448"/>
    <w:rsid w:val="00DC08DF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E1540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6274"/>
    <w:pPr>
      <w:widowControl w:val="0"/>
      <w:jc w:val="both"/>
    </w:pPr>
    <w:rPr>
      <w:kern w:val="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rsid w:val="0097627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rsid w:val="0097627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  <w:style w:type="paragraph" w:styleId="BalloonText">
    <w:name w:val="Balloon Text"/>
    <w:basedOn w:val="Normal"/>
    <w:link w:val="Char0"/>
    <w:semiHidden/>
    <w:unhideWhenUsed/>
    <w:rsid w:val="006C4D4B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semiHidden/>
    <w:rsid w:val="006C4D4B"/>
    <w:rPr>
      <w:kern w:val="2"/>
      <w:sz w:val="18"/>
      <w:szCs w:val="18"/>
    </w:rPr>
  </w:style>
  <w:style w:type="paragraph" w:styleId="BodyText">
    <w:name w:val="Body Text"/>
    <w:basedOn w:val="Normal"/>
    <w:link w:val="Char1"/>
    <w:qFormat/>
    <w:rsid w:val="002F5D1B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楷体" w:eastAsia="楷体" w:hAnsi="楷体" w:cs="楷体"/>
      <w:snapToGrid w:val="0"/>
      <w:color w:val="000000"/>
      <w:kern w:val="0"/>
      <w:sz w:val="24"/>
      <w:lang w:eastAsia="en-US"/>
    </w:rPr>
  </w:style>
  <w:style w:type="character" w:customStyle="1" w:styleId="Char1">
    <w:name w:val="正文文本 Char"/>
    <w:basedOn w:val="DefaultParagraphFont"/>
    <w:link w:val="BodyText"/>
    <w:rsid w:val="002F5D1B"/>
    <w:rPr>
      <w:rFonts w:ascii="楷体" w:eastAsia="楷体" w:hAnsi="楷体" w:cs="楷体"/>
      <w:snapToGrid w:val="0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44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B7269-FE5C-43A0-8825-197C5CDC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3465</Characters>
  <DocSecurity>0</DocSecurity>
  <Lines>28</Lines>
  <Paragraphs>8</Paragraphs>
  <ScaleCrop>false</ScaleCrop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2024-09-26T00:58:00Z</dcterms:created>
  <dcterms:modified xsi:type="dcterms:W3CDTF">2024-09-26T00:58:00Z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