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C528627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200" w:afterAutospacing="0"/>
        <w:ind w:left="0" w:right="0" w:firstLine="0"/>
        <w:jc w:val="both"/>
        <w:rPr>
          <w:rFonts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Style w:val="7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（2024·湖北·中考真题）阅读下面文言文，完成各题。</w:t>
      </w:r>
    </w:p>
    <w:p w14:paraId="7806C7A4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［甲］嗟（A）！予尝求古仁人之心，或异二者之为，何哉？不以物喜，不以己悲，居庙堂之高则忧其民，处江湖之远则忧其君。是进亦忧，退亦忧。然时何时而乐耶？其必曰“先天下之忧而忧，后天下之乐而乐”乎！噫！微斯人，吾谁与归？时六年九月十五日。</w:t>
      </w:r>
    </w:p>
    <w:p w14:paraId="6EEE8E3F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（选自范仲淹《岳阳楼记》）</w:t>
      </w:r>
    </w:p>
    <w:p w14:paraId="283AFB6D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［乙］范文正公微①时，尝诣灵祠求祷，曰：“他时得位相②乎？”不许，复祷之曰：“不然，愿为良医。”亦不许。既而叹曰：“夫不能利③泽生民，非大丈夫平生之志。”</w:t>
      </w:r>
    </w:p>
    <w:p w14:paraId="57630DBC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他日，有人谓公曰：“大丈夫之志于相，理则当然，良医之技，君何愿焉？无乃④失于卑耶？”公曰：“嗟乎，岂为是（B）！古人有云：‘常善救人，故无弃人；常善救物，故无弃物。’能及⑤小大生民者，固惟相为然，既不可得矣夫能行救人利物⑥之心者莫如良医。果能为良医（C），上以疗君亲之疾，下以救贫民之厄，中以保身长年。在下而能及小大生民者，舍夫良医，则未之有也。”</w:t>
      </w:r>
    </w:p>
    <w:p w14:paraId="2D5D41E2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（选自吴曾《能改斋漫录》。根据命题需要，原文有删节）</w:t>
      </w:r>
    </w:p>
    <w:p w14:paraId="2D9AEC23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注释：①〔微〕贫贱。②〔位相〕做宰相。③〔利〕谋求利益。④〔无乃〕莫非，恐怕，表揣测。⑤〔及〕（恩惠）到。⑥〔物〕人，众人。</w:t>
      </w:r>
    </w:p>
    <w:p w14:paraId="0C65DE2B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41．请参考“方法提示”，解释下列句中加点词语。</w:t>
      </w:r>
    </w:p>
    <w:tbl>
      <w:tblPr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762"/>
        <w:gridCol w:w="4238"/>
        <w:gridCol w:w="560"/>
      </w:tblGrid>
      <w:tr w14:paraId="2C5451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single" w:color="E8E8E8" w:sz="4" w:space="0"/>
              <w:left w:val="single" w:color="E8E8E8" w:sz="4" w:space="0"/>
              <w:bottom w:val="single" w:color="E8E8E8" w:sz="4" w:space="0"/>
              <w:right w:val="single" w:color="E8E8E8" w:sz="4" w:space="0"/>
            </w:tcBorders>
            <w:shd w:val="clear"/>
            <w:tcMar>
              <w:top w:w="80" w:type="dxa"/>
              <w:left w:w="120" w:type="dxa"/>
              <w:bottom w:w="80" w:type="dxa"/>
              <w:right w:w="120" w:type="dxa"/>
            </w:tcMar>
            <w:vAlign w:val="top"/>
          </w:tcPr>
          <w:p w14:paraId="0E6B169C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0" w:lineRule="atLeast"/>
              <w:ind w:left="0" w:right="0"/>
              <w:jc w:val="left"/>
            </w:pPr>
            <w:r>
              <w:rPr>
                <w:color w:val="222222"/>
                <w:sz w:val="16"/>
                <w:szCs w:val="16"/>
                <w:bdr w:val="none" w:color="auto" w:sz="0" w:space="0"/>
              </w:rPr>
              <w:t>文言语句</w:t>
            </w:r>
          </w:p>
        </w:tc>
        <w:tc>
          <w:tcPr>
            <w:tcW w:w="0" w:type="auto"/>
            <w:tcBorders>
              <w:top w:val="single" w:color="E8E8E8" w:sz="4" w:space="0"/>
              <w:left w:val="single" w:color="E8E8E8" w:sz="4" w:space="0"/>
              <w:bottom w:val="single" w:color="E8E8E8" w:sz="4" w:space="0"/>
              <w:right w:val="single" w:color="E8E8E8" w:sz="4" w:space="0"/>
            </w:tcBorders>
            <w:shd w:val="clear"/>
            <w:tcMar>
              <w:top w:w="80" w:type="dxa"/>
              <w:left w:w="120" w:type="dxa"/>
              <w:bottom w:w="80" w:type="dxa"/>
              <w:right w:w="120" w:type="dxa"/>
            </w:tcMar>
            <w:vAlign w:val="top"/>
          </w:tcPr>
          <w:p w14:paraId="2E2AD676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0" w:lineRule="atLeast"/>
              <w:ind w:left="0" w:right="0"/>
              <w:jc w:val="left"/>
            </w:pPr>
            <w:r>
              <w:rPr>
                <w:color w:val="222222"/>
                <w:sz w:val="16"/>
                <w:szCs w:val="16"/>
                <w:bdr w:val="none" w:color="auto" w:sz="0" w:space="0"/>
              </w:rPr>
              <w:t>方法提示</w:t>
            </w:r>
          </w:p>
        </w:tc>
        <w:tc>
          <w:tcPr>
            <w:tcW w:w="0" w:type="auto"/>
            <w:tcBorders>
              <w:top w:val="single" w:color="E8E8E8" w:sz="4" w:space="0"/>
              <w:left w:val="single" w:color="E8E8E8" w:sz="4" w:space="0"/>
              <w:bottom w:val="single" w:color="E8E8E8" w:sz="4" w:space="0"/>
              <w:right w:val="single" w:color="E8E8E8" w:sz="4" w:space="0"/>
            </w:tcBorders>
            <w:shd w:val="clear"/>
            <w:tcMar>
              <w:top w:w="80" w:type="dxa"/>
              <w:left w:w="120" w:type="dxa"/>
              <w:bottom w:w="80" w:type="dxa"/>
              <w:right w:w="120" w:type="dxa"/>
            </w:tcMar>
            <w:vAlign w:val="top"/>
          </w:tcPr>
          <w:p w14:paraId="4C383838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0" w:lineRule="atLeast"/>
              <w:ind w:left="0" w:right="0"/>
              <w:jc w:val="left"/>
            </w:pPr>
            <w:r>
              <w:rPr>
                <w:color w:val="222222"/>
                <w:sz w:val="16"/>
                <w:szCs w:val="16"/>
                <w:bdr w:val="none" w:color="auto" w:sz="0" w:space="0"/>
              </w:rPr>
              <w:t>解释</w:t>
            </w:r>
          </w:p>
        </w:tc>
      </w:tr>
      <w:tr w14:paraId="6B5EC0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single" w:color="E8E8E8" w:sz="4" w:space="0"/>
              <w:left w:val="single" w:color="E8E8E8" w:sz="4" w:space="0"/>
              <w:bottom w:val="single" w:color="E8E8E8" w:sz="4" w:space="0"/>
              <w:right w:val="single" w:color="E8E8E8" w:sz="4" w:space="0"/>
            </w:tcBorders>
            <w:shd w:val="clear"/>
            <w:tcMar>
              <w:top w:w="80" w:type="dxa"/>
              <w:left w:w="120" w:type="dxa"/>
              <w:bottom w:w="80" w:type="dxa"/>
              <w:right w:w="120" w:type="dxa"/>
            </w:tcMar>
            <w:vAlign w:val="top"/>
          </w:tcPr>
          <w:p w14:paraId="79692E25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0" w:lineRule="atLeast"/>
              <w:ind w:left="0" w:right="0"/>
              <w:jc w:val="left"/>
            </w:pPr>
            <w:r>
              <w:rPr>
                <w:color w:val="222222"/>
                <w:sz w:val="16"/>
                <w:szCs w:val="16"/>
                <w:bdr w:val="none" w:color="auto" w:sz="0" w:space="0"/>
              </w:rPr>
              <w:t>（1）夫不能利泽生民</w:t>
            </w:r>
          </w:p>
        </w:tc>
        <w:tc>
          <w:tcPr>
            <w:tcW w:w="0" w:type="auto"/>
            <w:tcBorders>
              <w:top w:val="single" w:color="E8E8E8" w:sz="4" w:space="0"/>
              <w:left w:val="single" w:color="E8E8E8" w:sz="4" w:space="0"/>
              <w:bottom w:val="single" w:color="E8E8E8" w:sz="4" w:space="0"/>
              <w:right w:val="single" w:color="E8E8E8" w:sz="4" w:space="0"/>
            </w:tcBorders>
            <w:shd w:val="clear"/>
            <w:tcMar>
              <w:top w:w="80" w:type="dxa"/>
              <w:left w:w="120" w:type="dxa"/>
              <w:bottom w:w="80" w:type="dxa"/>
              <w:right w:w="120" w:type="dxa"/>
            </w:tcMar>
            <w:vAlign w:val="top"/>
          </w:tcPr>
          <w:p w14:paraId="22E329E1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0" w:lineRule="atLeast"/>
              <w:ind w:left="0" w:right="0"/>
              <w:jc w:val="left"/>
            </w:pPr>
            <w:r>
              <w:rPr>
                <w:color w:val="222222"/>
                <w:sz w:val="16"/>
                <w:szCs w:val="16"/>
                <w:bdr w:val="none" w:color="auto" w:sz="0" w:space="0"/>
              </w:rPr>
              <w:t>查阅词典（①沼泽，湖泽。②雨露。③加恩惠于人。）</w:t>
            </w:r>
          </w:p>
        </w:tc>
        <w:tc>
          <w:tcPr>
            <w:tcW w:w="0" w:type="auto"/>
            <w:tcBorders>
              <w:top w:val="single" w:color="E8E8E8" w:sz="4" w:space="0"/>
              <w:left w:val="single" w:color="E8E8E8" w:sz="4" w:space="0"/>
              <w:bottom w:val="single" w:color="E8E8E8" w:sz="4" w:space="0"/>
              <w:right w:val="single" w:color="E8E8E8" w:sz="4" w:space="0"/>
            </w:tcBorders>
            <w:shd w:val="clear"/>
            <w:tcMar>
              <w:top w:w="80" w:type="dxa"/>
              <w:left w:w="120" w:type="dxa"/>
              <w:bottom w:w="80" w:type="dxa"/>
              <w:right w:w="120" w:type="dxa"/>
            </w:tcMar>
            <w:vAlign w:val="top"/>
          </w:tcPr>
          <w:p w14:paraId="044672AD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0" w:lineRule="atLeast"/>
              <w:ind w:left="0" w:right="0"/>
              <w:jc w:val="left"/>
            </w:pPr>
          </w:p>
        </w:tc>
      </w:tr>
      <w:tr w14:paraId="6443B1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single" w:color="E8E8E8" w:sz="4" w:space="0"/>
              <w:left w:val="single" w:color="E8E8E8" w:sz="4" w:space="0"/>
              <w:bottom w:val="single" w:color="E8E8E8" w:sz="4" w:space="0"/>
              <w:right w:val="single" w:color="E8E8E8" w:sz="4" w:space="0"/>
            </w:tcBorders>
            <w:shd w:val="clear"/>
            <w:tcMar>
              <w:top w:w="80" w:type="dxa"/>
              <w:left w:w="120" w:type="dxa"/>
              <w:bottom w:w="80" w:type="dxa"/>
              <w:right w:w="120" w:type="dxa"/>
            </w:tcMar>
            <w:vAlign w:val="top"/>
          </w:tcPr>
          <w:p w14:paraId="2098F48C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0" w:lineRule="atLeast"/>
              <w:ind w:left="0" w:right="0"/>
              <w:jc w:val="left"/>
            </w:pPr>
            <w:r>
              <w:rPr>
                <w:color w:val="222222"/>
                <w:sz w:val="16"/>
                <w:szCs w:val="16"/>
                <w:bdr w:val="none" w:color="auto" w:sz="0" w:space="0"/>
              </w:rPr>
              <w:t>（2）尝诣灵祠求祷</w:t>
            </w:r>
          </w:p>
        </w:tc>
        <w:tc>
          <w:tcPr>
            <w:tcW w:w="0" w:type="auto"/>
            <w:tcBorders>
              <w:top w:val="single" w:color="E8E8E8" w:sz="4" w:space="0"/>
              <w:left w:val="single" w:color="E8E8E8" w:sz="4" w:space="0"/>
              <w:bottom w:val="single" w:color="E8E8E8" w:sz="4" w:space="0"/>
              <w:right w:val="single" w:color="E8E8E8" w:sz="4" w:space="0"/>
            </w:tcBorders>
            <w:shd w:val="clear"/>
            <w:tcMar>
              <w:top w:w="80" w:type="dxa"/>
              <w:left w:w="120" w:type="dxa"/>
              <w:bottom w:w="80" w:type="dxa"/>
              <w:right w:w="120" w:type="dxa"/>
            </w:tcMar>
            <w:vAlign w:val="top"/>
          </w:tcPr>
          <w:p w14:paraId="559EB742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0" w:lineRule="atLeast"/>
              <w:ind w:left="0" w:right="0"/>
              <w:jc w:val="left"/>
            </w:pPr>
            <w:r>
              <w:rPr>
                <w:color w:val="222222"/>
                <w:sz w:val="16"/>
                <w:szCs w:val="16"/>
                <w:bdr w:val="none" w:color="auto" w:sz="0" w:space="0"/>
              </w:rPr>
              <w:t>课内迁移（予尝求古仁人之心）</w:t>
            </w:r>
          </w:p>
        </w:tc>
        <w:tc>
          <w:tcPr>
            <w:tcW w:w="0" w:type="auto"/>
            <w:tcBorders>
              <w:top w:val="single" w:color="E8E8E8" w:sz="4" w:space="0"/>
              <w:left w:val="single" w:color="E8E8E8" w:sz="4" w:space="0"/>
              <w:bottom w:val="single" w:color="E8E8E8" w:sz="4" w:space="0"/>
              <w:right w:val="single" w:color="E8E8E8" w:sz="4" w:space="0"/>
            </w:tcBorders>
            <w:shd w:val="clear"/>
            <w:tcMar>
              <w:top w:w="80" w:type="dxa"/>
              <w:left w:w="120" w:type="dxa"/>
              <w:bottom w:w="80" w:type="dxa"/>
              <w:right w:w="120" w:type="dxa"/>
            </w:tcMar>
            <w:vAlign w:val="top"/>
          </w:tcPr>
          <w:p w14:paraId="05C96AE5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0" w:lineRule="atLeast"/>
              <w:ind w:left="0" w:right="0"/>
              <w:jc w:val="left"/>
            </w:pPr>
          </w:p>
        </w:tc>
      </w:tr>
      <w:tr w14:paraId="2AD85D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single" w:color="E8E8E8" w:sz="4" w:space="0"/>
              <w:left w:val="single" w:color="E8E8E8" w:sz="4" w:space="0"/>
              <w:bottom w:val="single" w:color="E8E8E8" w:sz="4" w:space="0"/>
              <w:right w:val="single" w:color="E8E8E8" w:sz="4" w:space="0"/>
            </w:tcBorders>
            <w:shd w:val="clear"/>
            <w:tcMar>
              <w:top w:w="80" w:type="dxa"/>
              <w:left w:w="120" w:type="dxa"/>
              <w:bottom w:w="80" w:type="dxa"/>
              <w:right w:w="120" w:type="dxa"/>
            </w:tcMar>
            <w:vAlign w:val="top"/>
          </w:tcPr>
          <w:p w14:paraId="022D871F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0" w:lineRule="atLeast"/>
              <w:ind w:left="0" w:right="0"/>
              <w:jc w:val="left"/>
            </w:pPr>
            <w:r>
              <w:rPr>
                <w:color w:val="222222"/>
                <w:sz w:val="16"/>
                <w:szCs w:val="16"/>
                <w:bdr w:val="none" w:color="auto" w:sz="0" w:space="0"/>
              </w:rPr>
              <w:t>（3）无乃失于卑耶</w:t>
            </w:r>
          </w:p>
        </w:tc>
        <w:tc>
          <w:tcPr>
            <w:tcW w:w="0" w:type="auto"/>
            <w:tcBorders>
              <w:top w:val="single" w:color="E8E8E8" w:sz="4" w:space="0"/>
              <w:left w:val="single" w:color="E8E8E8" w:sz="4" w:space="0"/>
              <w:bottom w:val="single" w:color="E8E8E8" w:sz="4" w:space="0"/>
              <w:right w:val="single" w:color="E8E8E8" w:sz="4" w:space="0"/>
            </w:tcBorders>
            <w:shd w:val="clear"/>
            <w:tcMar>
              <w:top w:w="80" w:type="dxa"/>
              <w:left w:w="120" w:type="dxa"/>
              <w:bottom w:w="80" w:type="dxa"/>
              <w:right w:w="120" w:type="dxa"/>
            </w:tcMar>
            <w:vAlign w:val="top"/>
          </w:tcPr>
          <w:p w14:paraId="39AC90C2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0" w:lineRule="atLeast"/>
              <w:ind w:left="0" w:right="0"/>
              <w:jc w:val="left"/>
            </w:pPr>
            <w:r>
              <w:rPr>
                <w:color w:val="222222"/>
                <w:sz w:val="16"/>
                <w:szCs w:val="16"/>
                <w:bdr w:val="none" w:color="auto" w:sz="0" w:space="0"/>
              </w:rPr>
              <w:t>课内迁移（先帝不以臣卑鄙）</w:t>
            </w:r>
          </w:p>
        </w:tc>
        <w:tc>
          <w:tcPr>
            <w:tcW w:w="0" w:type="auto"/>
            <w:tcBorders>
              <w:top w:val="single" w:color="E8E8E8" w:sz="4" w:space="0"/>
              <w:left w:val="single" w:color="E8E8E8" w:sz="4" w:space="0"/>
              <w:bottom w:val="single" w:color="E8E8E8" w:sz="4" w:space="0"/>
              <w:right w:val="single" w:color="E8E8E8" w:sz="4" w:space="0"/>
            </w:tcBorders>
            <w:shd w:val="clear"/>
            <w:tcMar>
              <w:top w:w="80" w:type="dxa"/>
              <w:left w:w="120" w:type="dxa"/>
              <w:bottom w:w="80" w:type="dxa"/>
              <w:right w:w="120" w:type="dxa"/>
            </w:tcMar>
            <w:vAlign w:val="top"/>
          </w:tcPr>
          <w:p w14:paraId="0FE36BFF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0" w:lineRule="atLeast"/>
              <w:ind w:left="0" w:right="0"/>
              <w:jc w:val="left"/>
            </w:pPr>
          </w:p>
        </w:tc>
      </w:tr>
      <w:tr w14:paraId="3CAA05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single" w:color="E8E8E8" w:sz="4" w:space="0"/>
              <w:left w:val="single" w:color="E8E8E8" w:sz="4" w:space="0"/>
              <w:bottom w:val="single" w:color="E8E8E8" w:sz="4" w:space="0"/>
              <w:right w:val="single" w:color="E8E8E8" w:sz="4" w:space="0"/>
            </w:tcBorders>
            <w:shd w:val="clear"/>
            <w:tcMar>
              <w:top w:w="80" w:type="dxa"/>
              <w:left w:w="120" w:type="dxa"/>
              <w:bottom w:w="80" w:type="dxa"/>
              <w:right w:w="120" w:type="dxa"/>
            </w:tcMar>
            <w:vAlign w:val="top"/>
          </w:tcPr>
          <w:p w14:paraId="1EA1B4E9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0" w:lineRule="atLeast"/>
              <w:ind w:left="0" w:right="0"/>
              <w:jc w:val="left"/>
            </w:pPr>
            <w:r>
              <w:rPr>
                <w:color w:val="222222"/>
                <w:sz w:val="16"/>
                <w:szCs w:val="16"/>
                <w:bdr w:val="none" w:color="auto" w:sz="0" w:space="0"/>
              </w:rPr>
              <w:t>（4）下以救贫民之厄</w:t>
            </w:r>
          </w:p>
        </w:tc>
        <w:tc>
          <w:tcPr>
            <w:tcW w:w="0" w:type="auto"/>
            <w:tcBorders>
              <w:top w:val="single" w:color="E8E8E8" w:sz="4" w:space="0"/>
              <w:left w:val="single" w:color="E8E8E8" w:sz="4" w:space="0"/>
              <w:bottom w:val="single" w:color="E8E8E8" w:sz="4" w:space="0"/>
              <w:right w:val="single" w:color="E8E8E8" w:sz="4" w:space="0"/>
            </w:tcBorders>
            <w:shd w:val="clear"/>
            <w:tcMar>
              <w:top w:w="80" w:type="dxa"/>
              <w:left w:w="120" w:type="dxa"/>
              <w:bottom w:w="80" w:type="dxa"/>
              <w:right w:w="120" w:type="dxa"/>
            </w:tcMar>
            <w:vAlign w:val="top"/>
          </w:tcPr>
          <w:p w14:paraId="59A2CFD2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0" w:lineRule="atLeast"/>
              <w:ind w:left="0" w:right="0"/>
              <w:jc w:val="left"/>
            </w:pPr>
            <w:r>
              <w:rPr>
                <w:color w:val="222222"/>
                <w:sz w:val="16"/>
                <w:szCs w:val="16"/>
                <w:bdr w:val="none" w:color="auto" w:sz="0" w:space="0"/>
              </w:rPr>
              <w:t>语境推断（联系上下句）</w:t>
            </w:r>
          </w:p>
        </w:tc>
        <w:tc>
          <w:tcPr>
            <w:tcW w:w="0" w:type="auto"/>
            <w:tcBorders>
              <w:top w:val="single" w:color="E8E8E8" w:sz="4" w:space="0"/>
              <w:left w:val="single" w:color="E8E8E8" w:sz="4" w:space="0"/>
              <w:bottom w:val="single" w:color="E8E8E8" w:sz="4" w:space="0"/>
              <w:right w:val="single" w:color="E8E8E8" w:sz="4" w:space="0"/>
            </w:tcBorders>
            <w:shd w:val="clear"/>
            <w:tcMar>
              <w:top w:w="80" w:type="dxa"/>
              <w:left w:w="120" w:type="dxa"/>
              <w:bottom w:w="80" w:type="dxa"/>
              <w:right w:w="120" w:type="dxa"/>
            </w:tcMar>
            <w:vAlign w:val="top"/>
          </w:tcPr>
          <w:p w14:paraId="1D5C65A7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0" w:lineRule="atLeast"/>
              <w:ind w:left="0" w:right="0"/>
              <w:jc w:val="left"/>
            </w:pPr>
          </w:p>
        </w:tc>
      </w:tr>
    </w:tbl>
    <w:p w14:paraId="4B279572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42．请将“也”“夫”“哉”分别还原到文中括号处。</w:t>
      </w:r>
    </w:p>
    <w:p w14:paraId="1282E1A2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A．( )B．( )C．( )</w:t>
      </w:r>
    </w:p>
    <w:p w14:paraId="37E86EA4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43．请为乙文中画横线的句子断句（限两处）。</w:t>
      </w:r>
    </w:p>
    <w:p w14:paraId="2B5BBA8D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既不可得矣夫能行救人利物之心者莫如良医</w:t>
      </w:r>
    </w:p>
    <w:p w14:paraId="1EA819E6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44．请翻译乙文中画波浪线的句子。</w:t>
      </w:r>
    </w:p>
    <w:p w14:paraId="41F9070B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大丈夫之志于相，理则当然。</w:t>
      </w:r>
    </w:p>
    <w:p w14:paraId="18D4E3AA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45．甲文中说“进亦忧，退亦忧”，这里的“进”与“退”分别指什么？乙文中也谈到了范仲淹的“进”“退”选择，又分别指什么？</w:t>
      </w:r>
    </w:p>
    <w:p w14:paraId="491091DD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Style w:val="7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【答案】41．（1）加恩惠于人（2）曾经（3）地位低微（4）困厄 42． A.夫 B.哉 C.也 43．既不可得矣/夫能行救人利物之心者/莫如良医 44．大丈夫立志当宰相，是理所当然的。 45．甲文中的“进”指“居庙堂之高”，“退”指“处江湖之远”。乙文中的“进”指当宰相，“退”指当良医。</w:t>
      </w:r>
    </w:p>
    <w:p w14:paraId="0A1232FA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Style w:val="7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（2024·天津·中考真题）阅读下面文言文，完成下面小题。</w:t>
      </w:r>
    </w:p>
    <w:p w14:paraId="007F7AEC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李皭①为福建将乐令，春秋行乡饮酒礼时，至村落间问民疾苦，牧竖②妇女皆环集，导之以善，肫然③如家人。期月，邑人悉向化④，境无盗贼，讼庭稀鞭扑声。皭初至官，与家人约曰：“在官，俸金外皆赃也，不可以丝毫累我。”官廨⑤有桂二株，方花开，李指之曰：“此亦官物也，擅折者必治之。”自是家人不敢簪桂花。尝出郭省敛⑥，从仆摘道旁一橘，顾见之，责曰：“岂可坏法自汝始！”立下马杖之，命偿其直。居三年，上官有索馈者，无以应，遂去官归。</w:t>
      </w:r>
    </w:p>
    <w:p w14:paraId="6AC3E784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（选自《清稗类钞》）</w:t>
      </w:r>
    </w:p>
    <w:p w14:paraId="3D47F074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【注释】①李皭（jiào）：清朝顺治年间福建将乐县县令。②牧竖：牧童。③肫（zhūn）然：诚恳真挚的样子。④向化：受到感化而归顺。⑤官廨（xiè）：官署。⑥省敛：考察收取租税。</w:t>
      </w:r>
    </w:p>
    <w:p w14:paraId="207EA822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46．解释文中加点词的含义。</w:t>
      </w:r>
    </w:p>
    <w:p w14:paraId="20A16A2D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（1）至村落间问民疾苦至：</w:t>
      </w:r>
    </w:p>
    <w:p w14:paraId="6D62D453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（2）命偿其直偿：</w:t>
      </w:r>
    </w:p>
    <w:p w14:paraId="26DC2C80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47．将文中画线的句子翻译成现代汉语。</w:t>
      </w:r>
    </w:p>
    <w:p w14:paraId="2C85A69B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此亦官物也，擅折者必治之。</w:t>
      </w:r>
    </w:p>
    <w:p w14:paraId="0741552E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48．请结合原文分析，李皭是一个怎样的人。</w:t>
      </w:r>
    </w:p>
    <w:p w14:paraId="0FF76BB8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Style w:val="7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【答案】46． 到 抵偿，赔偿 47．这也是官署的财物，擅自折花的人（我）一定惩治他。 48．李皭为官期间到民间考察民情，关心百姓疾苦，引导百姓向善，乡人都受到感化而归顺，说明他是一个关爱百姓、治理有方的官员；他告诫家人不可贪赃，并惩治违反规定的从仆，说明他是一个清正廉洁、坚持原则的人；职位比他高的官员向他索要财物，他没有任何回应，说明他是一个刚正不阿的人。</w:t>
      </w:r>
    </w:p>
    <w:p w14:paraId="5800E34F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Style w:val="7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（2024·天津·中考真题）阅读《醉翁亭记》一文，完成下面小题。</w:t>
      </w:r>
    </w:p>
    <w:p w14:paraId="2DA1D686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醉翁亭记</w:t>
      </w:r>
    </w:p>
    <w:p w14:paraId="2255CE00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欧阳修</w:t>
      </w:r>
    </w:p>
    <w:p w14:paraId="7A0E199F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①环滁皆山也。其西南诸峰，林壑尤美，望之蔚然而深秀者，琅琊也。山行六七里，渐闻水声潺潺，而泻出于两峰之间者，酿泉也。峰回路转，有亭翼然临于泉上者，醉翁亭也。作亭者谁？山之僧智仙也。名之者谁？太守自谓也。太守与客来饮于此，饮少辄醉，而年又最高，故自号曰醉翁也。醉翁之意不在酒，在乎山水之间也。山水之乐，得之心而寓之酒也。</w:t>
      </w:r>
    </w:p>
    <w:p w14:paraId="1280B774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②若夫日出而林霏开，云归而岩穴暝，晦明变化者，山间之朝暮也。野芳发而幽香，佳木秀而繁阴，风霜高洁，水落而石出者，山间之四时也。朝而往，暮而归，四时之景不同，而乐亦无穷也。</w:t>
      </w:r>
    </w:p>
    <w:p w14:paraId="09AC09D1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③至于负者歌于途，行者休于树，前者呼，后者应，伛偻提携，往来而不绝者，滁人游也。临溪而渔，溪深而鱼肥，酿泉为酒，泉香而酒洌，山肴野蔌，杂然而前陈者，太守宴也。宴酣之乐，非丝非竹，射者中，弈者胜，觥筹交错，起坐而喧哗者，众宾欢也。苍颜白发，颓然乎其间者，太守醉也。</w:t>
      </w:r>
    </w:p>
    <w:p w14:paraId="0ABB4479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④已而夕阳在山，人影散乱，太守归而宾客从也。树林阴翳，鸣声上下，游人去而禽鸟乐也。然而禽鸟知山林之乐，而不知人之乐；人知从太守游而乐，而不知太守之乐其乐也。醉能同其乐，醒能述以文者，太守也。太守谓谁？庐陵欧阳修也。</w:t>
      </w:r>
    </w:p>
    <w:p w14:paraId="06ABE53A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49．下面句子中加点词的解释，不正确的一项是（）</w:t>
      </w:r>
    </w:p>
    <w:p w14:paraId="3488BD34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A．佳木秀而繁阴秀：茂盛</w:t>
      </w:r>
    </w:p>
    <w:p w14:paraId="28B928B3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B．杂然而前陈者陈：陈旧</w:t>
      </w:r>
    </w:p>
    <w:p w14:paraId="65BEA313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C．宴酣之乐，非丝非竹竹：管乐器</w:t>
      </w:r>
    </w:p>
    <w:p w14:paraId="39B5F435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D．树林阴翳，鸣声上下翳：遮盖</w:t>
      </w:r>
    </w:p>
    <w:p w14:paraId="3F3DCD62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50．下面句子是判断句的一项是（）</w:t>
      </w:r>
    </w:p>
    <w:p w14:paraId="27EC8B58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A．望之蔚然而深秀者，琅琊也。</w:t>
      </w:r>
    </w:p>
    <w:p w14:paraId="0E60A7C0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B．醉翁之意不在酒，在乎山水之间也。</w:t>
      </w:r>
    </w:p>
    <w:p w14:paraId="630F5122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C．山水之乐，得之心而寓之酒也。</w:t>
      </w:r>
    </w:p>
    <w:p w14:paraId="482AA1D6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D．人知从太守游而乐，而不知太守之乐其乐也。</w:t>
      </w:r>
    </w:p>
    <w:p w14:paraId="55ED71FE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51．下面对文章的理解分析，不正确的一项是（）</w:t>
      </w:r>
    </w:p>
    <w:p w14:paraId="1D754770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A．第②段作者抓住多个时间节点，写出山中早晚的阴晴变化和四时景物的迥然不同。</w:t>
      </w:r>
    </w:p>
    <w:p w14:paraId="706A6740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B．第③段所写的太守宴上投壶弈棋的乐趣，只有太守这个级别的官员才能享受。</w:t>
      </w:r>
    </w:p>
    <w:p w14:paraId="51A3D3AD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C．第④段写日暮而归，在叙事中融入议论和抒情，托出本文“与民同乐”的主旨。</w:t>
      </w:r>
    </w:p>
    <w:p w14:paraId="02527530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D．本文骈散结合，语言简洁流畅，错落有致，生动传神，体现了欧阳修游记散文独特的语言风格。</w:t>
      </w:r>
    </w:p>
    <w:p w14:paraId="32635B81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Style w:val="7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【答案】49．B 50．A 51．B</w:t>
      </w:r>
    </w:p>
    <w:p w14:paraId="4B18242C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Style w:val="7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（2024·山西·中考真题）班级开展“品古典意蕴”文言文探究活动。请阅读下面的选文并完成下面小题。</w:t>
      </w:r>
    </w:p>
    <w:p w14:paraId="3A73252E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【甲】</w:t>
      </w:r>
    </w:p>
    <w:p w14:paraId="672439B7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从小丘西行百二十步、隔篁竹，闻水声，如鸣珮环，心乐之。伐竹取道，下见小潭，水尤清冽。全石以为底，近岸，卷石底以出，为坻，为屿，为嵁，为岩。青树翠蔓，蒙络摇缀，参差披拂。</w:t>
      </w:r>
    </w:p>
    <w:p w14:paraId="7EE8AB17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潭中鱼可百许头。皆若空游无所依。日光下澈，影布石上。佁然不动，俶尔远逝，往来翁忽，似与游者相乐。</w:t>
      </w:r>
    </w:p>
    <w:p w14:paraId="113346AB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（节选自柳宗元《小石潭记》）</w:t>
      </w:r>
    </w:p>
    <w:p w14:paraId="2A1B9F35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【乙】</w:t>
      </w:r>
    </w:p>
    <w:p w14:paraId="7EBB2EC4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崇祯五年十二月，余住西湖。大雪三日，湖中人鸟声俱绝。是日更定矣，余拏一小舟，拥毳衣炉火，独往湖心亭看雪。雾凇沆砀，天与云与山与水，上下一白，湖上影子，惟长堤一痕、湖心亭一点、与余舟一芥、舟中人两三粒而已。</w:t>
      </w:r>
    </w:p>
    <w:p w14:paraId="2435C0D1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（节选自张岱（湖心亭看雪》）</w:t>
      </w:r>
    </w:p>
    <w:p w14:paraId="61917A57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52．字里有乾坤。解释下面加点字的意思。</w:t>
      </w:r>
    </w:p>
    <w:p w14:paraId="7266B2A2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（1）日光下澈澈：（2）拥毳衣炉火拥：</w:t>
      </w:r>
    </w:p>
    <w:p w14:paraId="58C22B87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53．句中有深意。用现代汉语翻译下面的句子。</w:t>
      </w:r>
    </w:p>
    <w:p w14:paraId="2B8826FD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（1）青树翠蔓，蒙络摇缀。</w:t>
      </w:r>
    </w:p>
    <w:p w14:paraId="4635DCD3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翻译：</w:t>
      </w:r>
    </w:p>
    <w:p w14:paraId="296F001C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（2）大雪三日，湖中人鸟声俱绝。</w:t>
      </w:r>
    </w:p>
    <w:p w14:paraId="488CEA68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翻译：接连下了三天的大雪，</w:t>
      </w:r>
    </w:p>
    <w:p w14:paraId="6C73AB3D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54．光影辉映，妙不可言。甲、乙两文都有对“影子”的描写，请结合具体内容，分析其妙处。</w:t>
      </w:r>
    </w:p>
    <w:p w14:paraId="617447F4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凡物皆有可观。苟有可观，皆有可乐，非必怪奇伟丽者也。餔糟①啜醨②，（1）；果蔬草木，（2）。推此类也，吾安往而不乐？</w:t>
      </w:r>
    </w:p>
    <w:p w14:paraId="1279576C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（节选自苏轼《超然台记》）</w:t>
      </w:r>
    </w:p>
    <w:p w14:paraId="5A2AF5D9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【注释】①餔（bū）糟：食酒糟。②啜醨（lí）：喝薄酒。</w:t>
      </w:r>
    </w:p>
    <w:p w14:paraId="39456999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55．请结合语境，把下面的句子填入上文相应空缺处。</w:t>
      </w:r>
    </w:p>
    <w:p w14:paraId="435DEF15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A．皆可以醉B．皆可以饱</w:t>
      </w:r>
    </w:p>
    <w:p w14:paraId="2B039353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56．请结合自己的生活体验，谈谈对文中画波浪线句子的理解。</w:t>
      </w:r>
    </w:p>
    <w:p w14:paraId="36F5EC87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Style w:val="7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【答案】52． 穿透 裹、围 53． 青葱的树，翠绿的藤蔓，蒙盖缠绕，摇曳牵连。 湖中行人、飞鸟的声音都消失了。 54． 示例：甲文中“影布石上”描绘出日光、潭水交融，鱼影映在潭底石上的清晰画面，侧面衬托潭水的澄澈透明； 乙文“湖上影子……两三粒而已”，妙用“痕”、“粒”等量词，写出了大雪覆盖下景物“影子”少而微的特点，运用白描手法，勾勒出一幅淡墨山水画。 55．（1）皆可以醉 （2）皆可以饱 56．示例：如果所有事物都有可观赏的地方，那么它们都能带给人快乐，不一定只有稀奇壮丽的事物才使人愉悦。即使是一朵不知名的小花，也能芬芳我的年华。</w:t>
      </w:r>
    </w:p>
    <w:p w14:paraId="53ABCA8F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Style w:val="7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（2024·河北·中考真题）学习九年级下册“课外古诗词诵读”《定风波》时，小冀同学查找了一些资料。请阅读下面文字，完成下面小题。</w:t>
      </w:r>
    </w:p>
    <w:p w14:paraId="5E874803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定风波①苏轼</w:t>
      </w:r>
    </w:p>
    <w:p w14:paraId="354EFC5D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三月七日②，沙湖③道中遇雨，雨具先去④，同行皆狼狈，余独不觉。已而遂晴，故作此词。</w:t>
      </w:r>
    </w:p>
    <w:p w14:paraId="15F64F49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莫听穿林打叶声，何妨吟啸⑤且徐行。竹杖芒鞋⑥轻胜马，谁怕？一蓑烟雨任平生。</w:t>
      </w:r>
    </w:p>
    <w:p w14:paraId="74EF6853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料峭⑦春风吹酒醒，微冷，山头斜照却相迎。回首向来萧瑟⑧处，归去，也无风雨也无晴。</w:t>
      </w:r>
    </w:p>
    <w:p w14:paraId="28EDC7A8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词人出游遇雨，却不慌不忙，在雨中吟咏长啸，聆听雨韵，思索人生。那“穿林打叶”的风雨，可以不去留意，把它们当作背景音乐；那料峭的春风，最多不过把酒吹醒，让人感到微冷而已。胸怀坦荡，可以包容天地，听任自然。这样，无论是风吹雨打，还是阳光照耀，都能随遇而安。人生何尝不会“栉风沐雨”？只要坚守自己的精神世界，顺境不骄，逆境不惧，就会少些烦恼，多些宁静和快乐。作者以风趣幽默的笔调，写出途中遇雨的所感所思，表现了乐观旷达的生活态度。</w:t>
      </w:r>
    </w:p>
    <w:p w14:paraId="2FA46EDC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①选自《东坡乐府笺》卷二（上海古籍出版社2009年版）。定风波，词牌名。②〔三月七日〕宋神宗元丰五年（1082）的三月七日，这时苏轼被贬居黄州（今湖北黄冈）。③（沙湖）在黄州东南三十里处。④〔雨具先去〕有人带雨具先走了。⑤〔吟啸〕高声吟咏。⑥（芒鞋）草鞋。⑦（料峭）形容微寒。⑧（萧瑟）指风雨吹打树木的声音。</w:t>
      </w:r>
    </w:p>
    <w:tbl>
      <w:tblPr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682"/>
        <w:gridCol w:w="7864"/>
      </w:tblGrid>
      <w:tr w14:paraId="08BE9D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vMerge w:val="restart"/>
            <w:tcBorders>
              <w:top w:val="single" w:color="E8E8E8" w:sz="4" w:space="0"/>
              <w:left w:val="single" w:color="E8E8E8" w:sz="4" w:space="0"/>
              <w:bottom w:val="single" w:color="E8E8E8" w:sz="4" w:space="0"/>
              <w:right w:val="single" w:color="E8E8E8" w:sz="4" w:space="0"/>
            </w:tcBorders>
            <w:shd w:val="clear"/>
            <w:tcMar>
              <w:top w:w="80" w:type="dxa"/>
              <w:left w:w="120" w:type="dxa"/>
              <w:bottom w:w="80" w:type="dxa"/>
              <w:right w:w="120" w:type="dxa"/>
            </w:tcMar>
            <w:vAlign w:val="top"/>
          </w:tcPr>
          <w:p w14:paraId="721B187A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0" w:lineRule="atLeast"/>
              <w:ind w:left="0" w:right="0"/>
              <w:jc w:val="left"/>
            </w:pPr>
            <w:r>
              <w:rPr>
                <w:color w:val="222222"/>
                <w:sz w:val="16"/>
                <w:szCs w:val="16"/>
                <w:bdr w:val="none" w:color="auto" w:sz="0" w:space="0"/>
              </w:rPr>
              <w:t>资料夹</w:t>
            </w:r>
          </w:p>
        </w:tc>
        <w:tc>
          <w:tcPr>
            <w:tcW w:w="0" w:type="auto"/>
            <w:tcBorders>
              <w:top w:val="single" w:color="E8E8E8" w:sz="4" w:space="0"/>
              <w:left w:val="single" w:color="E8E8E8" w:sz="4" w:space="0"/>
              <w:bottom w:val="single" w:color="E8E8E8" w:sz="4" w:space="0"/>
              <w:right w:val="single" w:color="E8E8E8" w:sz="4" w:space="0"/>
            </w:tcBorders>
            <w:shd w:val="clear"/>
            <w:tcMar>
              <w:top w:w="80" w:type="dxa"/>
              <w:left w:w="120" w:type="dxa"/>
              <w:bottom w:w="80" w:type="dxa"/>
              <w:right w:w="120" w:type="dxa"/>
            </w:tcMar>
            <w:vAlign w:val="top"/>
          </w:tcPr>
          <w:p w14:paraId="59E6560C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0" w:lineRule="atLeast"/>
              <w:ind w:left="0" w:right="0"/>
              <w:jc w:val="left"/>
            </w:pPr>
            <w:r>
              <w:rPr>
                <w:color w:val="222222"/>
                <w:sz w:val="16"/>
                <w:szCs w:val="16"/>
                <w:bdr w:val="none" w:color="auto" w:sz="0" w:space="0"/>
              </w:rPr>
              <w:t>资料一：</w:t>
            </w:r>
          </w:p>
          <w:p w14:paraId="4A7F7DE8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0" w:lineRule="atLeast"/>
              <w:ind w:left="0" w:right="0"/>
              <w:jc w:val="left"/>
            </w:pPr>
            <w:r>
              <w:rPr>
                <w:color w:val="222222"/>
                <w:sz w:val="16"/>
                <w:szCs w:val="16"/>
                <w:bdr w:val="none" w:color="auto" w:sz="0" w:space="0"/>
              </w:rPr>
              <w:t>［甲］</w:t>
            </w:r>
          </w:p>
          <w:p w14:paraId="0AC9ADF6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0" w:lineRule="atLeast"/>
              <w:ind w:left="0" w:right="0"/>
              <w:jc w:val="left"/>
            </w:pPr>
            <w:r>
              <w:rPr>
                <w:color w:val="222222"/>
                <w:sz w:val="16"/>
                <w:szCs w:val="16"/>
                <w:bdr w:val="none" w:color="auto" w:sz="0" w:space="0"/>
              </w:rPr>
              <w:t>苏子瞻以诗得罪，贬黄州。［乙］</w:t>
            </w:r>
          </w:p>
          <w:p w14:paraId="355EAA61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0" w:lineRule="atLeast"/>
              <w:ind w:left="0" w:right="0"/>
              <w:jc w:val="left"/>
            </w:pPr>
            <w:r>
              <w:rPr>
                <w:color w:val="222222"/>
                <w:sz w:val="16"/>
                <w:szCs w:val="16"/>
                <w:bdr w:val="none" w:color="auto" w:sz="0" w:space="0"/>
              </w:rPr>
              <w:t>子瞻在黄州及岭表①每旦起不招客相与语则必出而访客；所与游者，亦不尽择。［丙］</w:t>
            </w:r>
          </w:p>
          <w:p w14:paraId="6EB43F41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0" w:lineRule="atLeast"/>
              <w:ind w:left="0" w:right="0"/>
              <w:jc w:val="left"/>
            </w:pPr>
            <w:r>
              <w:rPr>
                <w:color w:val="222222"/>
                <w:sz w:val="16"/>
                <w:szCs w:val="16"/>
                <w:bdr w:val="none" w:color="auto" w:sz="0" w:space="0"/>
              </w:rPr>
              <w:t>东坡在黄，即坡之下，种稻为田五十亩，自牧一牛。</w:t>
            </w:r>
          </w:p>
          <w:p w14:paraId="1250A248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0" w:lineRule="atLeast"/>
              <w:ind w:left="0" w:right="0"/>
              <w:jc w:val="left"/>
            </w:pPr>
            <w:r>
              <w:rPr>
                <w:color w:val="222222"/>
                <w:sz w:val="16"/>
                <w:szCs w:val="16"/>
                <w:bdr w:val="none" w:color="auto" w:sz="0" w:space="0"/>
              </w:rPr>
              <w:t>（选自《苏东坡轶事汇编》）①（岭表）古地区名。即岭南、岭外。</w:t>
            </w:r>
          </w:p>
        </w:tc>
      </w:tr>
      <w:tr w14:paraId="53E78B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vMerge w:val="continue"/>
            <w:tcBorders>
              <w:top w:val="single" w:color="E8E8E8" w:sz="4" w:space="0"/>
              <w:left w:val="single" w:color="E8E8E8" w:sz="4" w:space="0"/>
              <w:bottom w:val="single" w:color="E8E8E8" w:sz="4" w:space="0"/>
              <w:right w:val="single" w:color="E8E8E8" w:sz="4" w:space="0"/>
            </w:tcBorders>
            <w:shd w:val="clear"/>
            <w:tcMar>
              <w:top w:w="80" w:type="dxa"/>
              <w:left w:w="120" w:type="dxa"/>
              <w:bottom w:w="80" w:type="dxa"/>
              <w:right w:w="120" w:type="dxa"/>
            </w:tcMar>
            <w:vAlign w:val="top"/>
          </w:tcPr>
          <w:p w14:paraId="50CFDAA2">
            <w:pPr>
              <w:jc w:val="left"/>
              <w:rPr>
                <w:rFonts w:hint="eastAsia" w:ascii="宋体"/>
                <w:color w:val="222222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color="E8E8E8" w:sz="4" w:space="0"/>
              <w:left w:val="single" w:color="E8E8E8" w:sz="4" w:space="0"/>
              <w:bottom w:val="single" w:color="E8E8E8" w:sz="4" w:space="0"/>
              <w:right w:val="single" w:color="E8E8E8" w:sz="4" w:space="0"/>
            </w:tcBorders>
            <w:shd w:val="clear"/>
            <w:tcMar>
              <w:top w:w="80" w:type="dxa"/>
              <w:left w:w="120" w:type="dxa"/>
              <w:bottom w:w="80" w:type="dxa"/>
              <w:right w:w="120" w:type="dxa"/>
            </w:tcMar>
            <w:vAlign w:val="top"/>
          </w:tcPr>
          <w:p w14:paraId="4DFD888F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0" w:lineRule="atLeast"/>
              <w:ind w:left="0" w:right="0"/>
              <w:jc w:val="left"/>
            </w:pPr>
            <w:r>
              <w:rPr>
                <w:color w:val="222222"/>
                <w:sz w:val="16"/>
                <w:szCs w:val="16"/>
                <w:bdr w:val="none" w:color="auto" w:sz="0" w:space="0"/>
              </w:rPr>
              <w:t>资料二：</w:t>
            </w:r>
          </w:p>
          <w:p w14:paraId="28A9B329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0" w:lineRule="atLeast"/>
              <w:ind w:left="0" w:right="0"/>
              <w:jc w:val="left"/>
            </w:pPr>
            <w:r>
              <w:rPr>
                <w:color w:val="222222"/>
                <w:sz w:val="16"/>
                <w:szCs w:val="16"/>
                <w:bdr w:val="none" w:color="auto" w:sz="0" w:space="0"/>
              </w:rPr>
              <w:t>黄州东南三十里为沙湖，亦曰螺师店，予买田其间。</w:t>
            </w:r>
          </w:p>
          <w:p w14:paraId="4F5B04B0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0" w:lineRule="atLeast"/>
              <w:ind w:left="0" w:right="0"/>
              <w:jc w:val="left"/>
            </w:pPr>
            <w:r>
              <w:rPr>
                <w:color w:val="222222"/>
                <w:sz w:val="16"/>
                <w:szCs w:val="16"/>
                <w:bdr w:val="none" w:color="auto" w:sz="0" w:space="0"/>
              </w:rPr>
              <w:t>（选自《东坡志林》）</w:t>
            </w:r>
          </w:p>
        </w:tc>
      </w:tr>
      <w:tr w14:paraId="1C5FB6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vMerge w:val="continue"/>
            <w:tcBorders>
              <w:top w:val="single" w:color="E8E8E8" w:sz="4" w:space="0"/>
              <w:left w:val="single" w:color="E8E8E8" w:sz="4" w:space="0"/>
              <w:bottom w:val="single" w:color="E8E8E8" w:sz="4" w:space="0"/>
              <w:right w:val="single" w:color="E8E8E8" w:sz="4" w:space="0"/>
            </w:tcBorders>
            <w:shd w:val="clear"/>
            <w:tcMar>
              <w:top w:w="80" w:type="dxa"/>
              <w:left w:w="120" w:type="dxa"/>
              <w:bottom w:w="80" w:type="dxa"/>
              <w:right w:w="120" w:type="dxa"/>
            </w:tcMar>
            <w:vAlign w:val="top"/>
          </w:tcPr>
          <w:p w14:paraId="1BCB2663">
            <w:pPr>
              <w:jc w:val="left"/>
              <w:rPr>
                <w:rFonts w:hint="eastAsia" w:ascii="宋体"/>
                <w:color w:val="222222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color="E8E8E8" w:sz="4" w:space="0"/>
              <w:left w:val="single" w:color="E8E8E8" w:sz="4" w:space="0"/>
              <w:bottom w:val="single" w:color="E8E8E8" w:sz="4" w:space="0"/>
              <w:right w:val="single" w:color="E8E8E8" w:sz="4" w:space="0"/>
            </w:tcBorders>
            <w:shd w:val="clear"/>
            <w:tcMar>
              <w:top w:w="80" w:type="dxa"/>
              <w:left w:w="120" w:type="dxa"/>
              <w:bottom w:w="80" w:type="dxa"/>
              <w:right w:w="120" w:type="dxa"/>
            </w:tcMar>
            <w:vAlign w:val="top"/>
          </w:tcPr>
          <w:p w14:paraId="6CF934A8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0" w:lineRule="atLeast"/>
              <w:ind w:left="0" w:right="0"/>
              <w:jc w:val="left"/>
            </w:pPr>
            <w:r>
              <w:rPr>
                <w:color w:val="222222"/>
                <w:sz w:val="16"/>
                <w:szCs w:val="16"/>
                <w:bdr w:val="none" w:color="auto" w:sz="0" w:space="0"/>
              </w:rPr>
              <w:t>资料三：</w:t>
            </w:r>
          </w:p>
          <w:p w14:paraId="6BF83CFA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0" w:lineRule="atLeast"/>
              <w:ind w:left="0" w:right="0"/>
              <w:jc w:val="left"/>
            </w:pPr>
            <w:r>
              <w:rPr>
                <w:color w:val="222222"/>
                <w:sz w:val="16"/>
                <w:szCs w:val="16"/>
                <w:bdr w:val="none" w:color="auto" w:sz="0" w:space="0"/>
              </w:rPr>
              <w:t>公幅巾①芒屩②，与田父野老相从溪谷之间，筑室于东坡。</w:t>
            </w:r>
          </w:p>
          <w:p w14:paraId="2BD4BEF0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0" w:lineRule="atLeast"/>
              <w:ind w:left="0" w:right="0"/>
              <w:jc w:val="left"/>
            </w:pPr>
            <w:r>
              <w:rPr>
                <w:color w:val="222222"/>
                <w:sz w:val="16"/>
                <w:szCs w:val="16"/>
                <w:bdr w:val="none" w:color="auto" w:sz="0" w:space="0"/>
              </w:rPr>
              <w:t>（选自《东坡乐府笺》）①〔幅巾〕裹头用的丝巾。②〔芒屩〕芒，一种多年生草本植物，可用以编织草鞋。屏，草鞋。</w:t>
            </w:r>
          </w:p>
        </w:tc>
      </w:tr>
      <w:tr w14:paraId="3A3785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vMerge w:val="continue"/>
            <w:tcBorders>
              <w:top w:val="single" w:color="E8E8E8" w:sz="4" w:space="0"/>
              <w:left w:val="single" w:color="E8E8E8" w:sz="4" w:space="0"/>
              <w:bottom w:val="single" w:color="E8E8E8" w:sz="4" w:space="0"/>
              <w:right w:val="single" w:color="E8E8E8" w:sz="4" w:space="0"/>
            </w:tcBorders>
            <w:shd w:val="clear"/>
            <w:tcMar>
              <w:top w:w="80" w:type="dxa"/>
              <w:left w:w="120" w:type="dxa"/>
              <w:bottom w:w="80" w:type="dxa"/>
              <w:right w:w="120" w:type="dxa"/>
            </w:tcMar>
            <w:vAlign w:val="top"/>
          </w:tcPr>
          <w:p w14:paraId="1880DCB7">
            <w:pPr>
              <w:jc w:val="left"/>
              <w:rPr>
                <w:rFonts w:hint="eastAsia" w:ascii="宋体"/>
                <w:color w:val="222222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color="E8E8E8" w:sz="4" w:space="0"/>
              <w:left w:val="single" w:color="E8E8E8" w:sz="4" w:space="0"/>
              <w:bottom w:val="single" w:color="E8E8E8" w:sz="4" w:space="0"/>
              <w:right w:val="single" w:color="E8E8E8" w:sz="4" w:space="0"/>
            </w:tcBorders>
            <w:shd w:val="clear"/>
            <w:tcMar>
              <w:top w:w="80" w:type="dxa"/>
              <w:left w:w="120" w:type="dxa"/>
              <w:bottom w:w="80" w:type="dxa"/>
              <w:right w:w="120" w:type="dxa"/>
            </w:tcMar>
            <w:vAlign w:val="top"/>
          </w:tcPr>
          <w:p w14:paraId="70CE021F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0" w:lineRule="atLeast"/>
              <w:ind w:left="0" w:right="0"/>
              <w:jc w:val="left"/>
            </w:pPr>
            <w:r>
              <w:rPr>
                <w:color w:val="222222"/>
                <w:sz w:val="16"/>
                <w:szCs w:val="16"/>
                <w:bdr w:val="none" w:color="auto" w:sz="0" w:space="0"/>
              </w:rPr>
              <w:t>资料四：</w:t>
            </w:r>
          </w:p>
          <w:p w14:paraId="721ACDC6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0" w:lineRule="atLeast"/>
              <w:ind w:left="0" w:right="0"/>
              <w:jc w:val="left"/>
            </w:pPr>
            <w:r>
              <w:rPr>
                <w:color w:val="222222"/>
                <w:sz w:val="16"/>
                <w:szCs w:val="16"/>
                <w:bdr w:val="none" w:color="auto" w:sz="0" w:space="0"/>
              </w:rPr>
              <w:t>尝与孙绰①等泛海，风起浪涌，诸人并惧，安②吟啸自若。</w:t>
            </w:r>
          </w:p>
          <w:p w14:paraId="039EA58C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0" w:lineRule="atLeast"/>
              <w:ind w:left="0" w:right="0"/>
              <w:jc w:val="left"/>
            </w:pPr>
            <w:r>
              <w:rPr>
                <w:color w:val="222222"/>
                <w:sz w:val="16"/>
                <w:szCs w:val="16"/>
                <w:bdr w:val="none" w:color="auto" w:sz="0" w:space="0"/>
              </w:rPr>
              <w:t>（选自《晋书》）①〔孙绰〕东晋文学家。②〔安〕即谢安，东晋政治家。死后追赠为太傅。</w:t>
            </w:r>
          </w:p>
        </w:tc>
      </w:tr>
    </w:tbl>
    <w:p w14:paraId="6402F4A5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57．解释下列句子中加点的词语。</w:t>
      </w:r>
    </w:p>
    <w:p w14:paraId="4956B8CD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（1）一蓑烟雨任平生（《定风波》）</w:t>
      </w:r>
    </w:p>
    <w:p w14:paraId="2515ADE3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（2）亦不尽择（资料一·乙）</w:t>
      </w:r>
    </w:p>
    <w:p w14:paraId="131AF647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（3）与田父野老相从溪谷之间（资料三）</w:t>
      </w:r>
    </w:p>
    <w:p w14:paraId="5C11E3F2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（4）诸人并惧（资料四）</w:t>
      </w:r>
    </w:p>
    <w:p w14:paraId="3922E486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58．下列对“资料一·乙”中画线语句的断句，正确的一项是（）</w:t>
      </w:r>
    </w:p>
    <w:p w14:paraId="7CEF82E3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A．子瞻在黄州/及岭表每旦起/不招客相与/语则必出而访客</w:t>
      </w:r>
    </w:p>
    <w:p w14:paraId="01C71599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B．子瞻在黄州及岭表/每旦起/不招客相与语/则必出而访客</w:t>
      </w:r>
    </w:p>
    <w:p w14:paraId="06F01960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C．子瞻在黄州/及岭表/每旦起不招客/相与语则必出而访客</w:t>
      </w:r>
    </w:p>
    <w:p w14:paraId="6B45A015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D．子瞻在黄州及岭表/每旦起不招/客相与语/则必出而访客</w:t>
      </w:r>
    </w:p>
    <w:p w14:paraId="79BA6D4B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59．把下列句子翻译成现代汉语。</w:t>
      </w:r>
    </w:p>
    <w:p w14:paraId="75F546AA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（1）已而遂晴，故作此词。（《定风波》）</w:t>
      </w:r>
    </w:p>
    <w:p w14:paraId="04C2E0C2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（2）黄州东南三十里为沙湖，亦曰螺师店，予买田其间。（资料二）</w:t>
      </w:r>
    </w:p>
    <w:p w14:paraId="11715F93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60．从小冀同学查找的资料看，苏轼号“东坡居士”的原因可能是什么？</w:t>
      </w:r>
    </w:p>
    <w:p w14:paraId="0CD30865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61．“回首向来萧瑟处”中的“回首”有两个意思，请写出来。</w:t>
      </w:r>
    </w:p>
    <w:p w14:paraId="68A1ED3A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62．苏轼在风雨中“吟啸”，谢安在风浪中“吟啸”。他们在困境中的做法给了你什么启示？</w:t>
      </w:r>
    </w:p>
    <w:p w14:paraId="50584BA7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Style w:val="7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【答案】57．（1）任由、任凭 （2）挑选（3）跟随（4）害怕，恐惧 58．B 59．（1）过了一会儿天晴了，因此做了这首词。</w:t>
      </w:r>
    </w:p>
    <w:p w14:paraId="04881F08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Style w:val="7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（2）（离）黄州东南三十里是沙湖，又叫螺师店。我在那里买了田地。60．（1）“东坡”是作者耕种、放牧之地；（2）是作者居住的地方。（3）是作者淡泊名利的精神的象征。 61．（1）表面意思：回望方才的遇雨之处；（2）深层含义：对自己平生经历过的宦海风波的感悟和反思。 62．示例1：苏轼的“吟啸”告诉我们：要有不畏惧困难的精神，要有乐观豁达的胸襟。</w:t>
      </w:r>
    </w:p>
    <w:p w14:paraId="1A155641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Style w:val="7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示例2：谢安的“吟啸”告诉我们：遇事要沉着冷静，临危不乱。</w:t>
      </w:r>
    </w:p>
    <w:p w14:paraId="360988FB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Style w:val="7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（2024·江西·中考真题）阅读下面文言文，完成下面小题。</w:t>
      </w:r>
    </w:p>
    <w:p w14:paraId="67442F58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①为学者如山阴王雪湖①之画梅焉，斯②可矣。雪湖画梅，闭门端坐，内求诸己，久之能出梅之神情风韵于五指间。曾画一株在倪中丞③厅壁，期年之后，墨气尚浮，游蜂飞蝶往来采食，华蕊皆尽。若是其神也！</w:t>
      </w:r>
    </w:p>
    <w:p w14:paraId="0A6D1EDA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②吾友龙仲房闻雪湖有《梅谱》，游湖涉越④而求之，至则雪湖死已久矣。</w:t>
      </w:r>
    </w:p>
    <w:p w14:paraId="5696DBD8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……</w:t>
      </w:r>
    </w:p>
    <w:p w14:paraId="2793AF4E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③仲房丧志归家，岁云⑤暮矣。闷坐中庭，值庭梅初放，雪月交映，梅影在地，幽特构崛⑥，清古简傲，横斜倒侧之态宛然如画。坐卧其下，忽跃起大呼，伸纸振笔，一挥数轴，曰：“得之矣！”于是仲房之梅遂冠江右，尝谓予曰：“吾学画梅二十年矣，向者贸贸⑦焉远而求之雪湖……愈远愈失⑧，不知雪湖之《梅谱》，近在庭树间也！”</w:t>
      </w:r>
    </w:p>
    <w:p w14:paraId="367EA62C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（选自《江西古文精华丛书》）</w:t>
      </w:r>
    </w:p>
    <w:p w14:paraId="006AB2BA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[注]①山阴：今浙江省绍兴市。王雪湖：明末清初画家。②斯：连词，乃。③中丞：官名。④游湖涉越：游历湖州，跋涉到越州。⑤云：语助词，无义。⑥幽特构崛：姿态优雅而结构奇崛，指梅的形态。⑦贸贸：轻率貌。⑧愈远愈失：越是向远处追求就越是迷失了追求目标。</w:t>
      </w:r>
    </w:p>
    <w:p w14:paraId="2D2C10D8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63．解释文中加点词的含义。</w:t>
      </w:r>
    </w:p>
    <w:p w14:paraId="624540F1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（1）尽( )（2）岁( )（3）尝( )</w:t>
      </w:r>
    </w:p>
    <w:p w14:paraId="40FEE6C2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64．把文中画横线的语句翻译成现代汉语。</w:t>
      </w:r>
    </w:p>
    <w:p w14:paraId="461DEF67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（1）期年之后，墨气尚浮。</w:t>
      </w:r>
    </w:p>
    <w:p w14:paraId="2DB600CA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（2）若是其神也！</w:t>
      </w:r>
    </w:p>
    <w:p w14:paraId="5E1FEFF1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65．本文借龙仲房学画梅花的故事论学，启示后人。请你把得到的启示概括为一句话，赠送给求学道路上的同学以共勉。</w:t>
      </w:r>
    </w:p>
    <w:p w14:paraId="0D52C104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Style w:val="7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【答案】63． 完，没有了 年 曾，曾经 64．（1）满一年之后，墨的味道还在。</w:t>
      </w:r>
    </w:p>
    <w:p w14:paraId="5EE753F0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Style w:val="7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（2）像这样太神奇了！65．示例一：实践出真知。</w:t>
      </w:r>
    </w:p>
    <w:p w14:paraId="207763BF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Style w:val="7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示例二：观察、反思是学习的重要方法。</w:t>
      </w:r>
    </w:p>
    <w:p w14:paraId="21124750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Style w:val="7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示例三：求人不如求己。</w:t>
      </w:r>
    </w:p>
    <w:p w14:paraId="31DD9DDD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Style w:val="7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（2024·湖南·中考真题）阅读下面三则文言短文，完成下面小题。</w:t>
      </w:r>
    </w:p>
    <w:p w14:paraId="3C9F4945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【甲】</w:t>
      </w:r>
    </w:p>
    <w:p w14:paraId="58A2C75E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谢太傅寒雪日内集，与儿女讲论文义。俄而雪骤，公欣然曰：“白雪纷纷何所似？”兄子胡儿曰：“撒盐空中差可拟。”兄女曰：“未若柳絮因风起。”公大笑乐。即公大兄无奕女，左将军王凝之妻也。</w:t>
      </w:r>
    </w:p>
    <w:p w14:paraId="06EC5F7B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（选自《世说新语•言语》）</w:t>
      </w:r>
    </w:p>
    <w:p w14:paraId="0DD9A5F4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【乙】</w:t>
      </w:r>
    </w:p>
    <w:p w14:paraId="713D9449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谢公①与人围棋，俄而谢玄淮上信至。看书竟，默然无言，徐向局②。客问淮上利害，答曰：“小儿辈大破贼。”意色举止，不异于常。</w:t>
      </w:r>
    </w:p>
    <w:p w14:paraId="218141AE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（选自《世说新语•雅量》）</w:t>
      </w:r>
    </w:p>
    <w:p w14:paraId="1184B41A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【丙】</w:t>
      </w:r>
    </w:p>
    <w:p w14:paraId="54CD2D5C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谢太傅盘桓东山时，与孙兴公诸人泛海戏。风起浪涌，孙、王诸人色并遽③，便唱④使还。太傅神情方王⑤，吟啸不言。舟人以公貌闲意说，犹去不止。既风转急，浪猛，诸人皆喧动不坐。公徐云：“如此，将无归？”众人即承响⑥而回。于是审其量，足以镇安朝野。</w:t>
      </w:r>
    </w:p>
    <w:p w14:paraId="369DBB07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（选自《世说新语•雅量》）</w:t>
      </w:r>
    </w:p>
    <w:p w14:paraId="676DF025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［注释］①谢公：指谢安，死后追赠为大傅。②局：这里指棋局。③遽（jù）：惶恐。④唱：叫喊。⑤王（wàng），通“旺”，指兴致高。⑥承响：应声附和。</w:t>
      </w:r>
    </w:p>
    <w:p w14:paraId="3951840A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66．下列对文中加点词语的解说，不正确的一项是（）</w:t>
      </w:r>
    </w:p>
    <w:p w14:paraId="50144D9C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A．“俄而谢玄淮上信至”中的“俄而”与“俄而雪骤”中的“俄而”意思相同，都表示“不久，一会儿”。</w:t>
      </w:r>
    </w:p>
    <w:p w14:paraId="315A762A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B．“撒盐空中差可拟”中的“差”是“大体”的意思，与成语“差强人意”中的“差”意思相同。</w:t>
      </w:r>
    </w:p>
    <w:p w14:paraId="3E689609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C．“徐向局”“公徐云”与《周亚夫军细柳》中“于是天子乃按辔徐行”中的“徐”，都有“缓慢”的意思。</w:t>
      </w:r>
    </w:p>
    <w:p w14:paraId="2E138DF9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D．“色”有“面部表情、气色，颜色，品类”等义项，“意色举止”“色并遽”中的“色”都是“颜色”的意思。</w:t>
      </w:r>
    </w:p>
    <w:p w14:paraId="478CD6C3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67．借助下面的知识卡片，将短文【丙】中画横线的句子翻译成现代汉语。</w:t>
      </w:r>
    </w:p>
    <w:tbl>
      <w:tblPr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6302"/>
      </w:tblGrid>
      <w:tr w14:paraId="28AF8D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single" w:color="E8E8E8" w:sz="4" w:space="0"/>
              <w:left w:val="single" w:color="E8E8E8" w:sz="4" w:space="0"/>
              <w:bottom w:val="single" w:color="E8E8E8" w:sz="4" w:space="0"/>
              <w:right w:val="single" w:color="E8E8E8" w:sz="4" w:space="0"/>
            </w:tcBorders>
            <w:shd w:val="clear"/>
            <w:tcMar>
              <w:top w:w="80" w:type="dxa"/>
              <w:left w:w="120" w:type="dxa"/>
              <w:bottom w:w="80" w:type="dxa"/>
              <w:right w:w="120" w:type="dxa"/>
            </w:tcMar>
            <w:vAlign w:val="top"/>
          </w:tcPr>
          <w:p w14:paraId="3339DFE5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0" w:lineRule="atLeast"/>
              <w:ind w:left="0" w:right="0"/>
              <w:jc w:val="left"/>
            </w:pPr>
            <w:r>
              <w:rPr>
                <w:color w:val="222222"/>
                <w:sz w:val="16"/>
                <w:szCs w:val="16"/>
                <w:bdr w:val="none" w:color="auto" w:sz="0" w:space="0"/>
              </w:rPr>
              <w:t>说：1.shuō①解释，说明②主张，学说；2.shuì劝说，说服；3.yuè通“悦”，喜悦，高兴</w:t>
            </w:r>
          </w:p>
          <w:p w14:paraId="02B39603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280" w:lineRule="atLeast"/>
              <w:ind w:left="0" w:right="0"/>
              <w:jc w:val="left"/>
            </w:pPr>
            <w:r>
              <w:rPr>
                <w:color w:val="222222"/>
                <w:sz w:val="16"/>
                <w:szCs w:val="16"/>
                <w:bdr w:val="none" w:color="auto" w:sz="0" w:space="0"/>
              </w:rPr>
              <w:t>去：①离开②距，距离③前往④过去的</w:t>
            </w:r>
          </w:p>
        </w:tc>
      </w:tr>
    </w:tbl>
    <w:p w14:paraId="78F2CB5D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68．短文【乙】【丙】均出自《雅量》篇。任选一则，根据其中谢公的表现，说说将其归入《雅量》篇的原因。</w:t>
      </w:r>
    </w:p>
    <w:p w14:paraId="04B7DD68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69．在《晋书·谢安传》中，短文【乙】的故事有另外一个结尾：谢安下完棋，往屋里走，因为抑制不住内心的激动，过门槛时不小心把木屐上的齿踢断了。你觉得这个结尾好不好，为什么？</w:t>
      </w:r>
    </w:p>
    <w:p w14:paraId="61E42B1B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Style w:val="7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【答案】66．D 67．船夫因为谢安神态安闲，心情舒畅，便仍然摇船向前。 68．选择短文乙或丙中任一则，根据谢公在面对突发事件时的镇定自若、从容不迫的态度，说明其宽广的胸怀和深沉的内涵，体现了雅量。 69．这个结尾不好，因为它与谢安在故事中一贯的镇定自若形象不符，破坏了人物形象的一致性。</w:t>
      </w:r>
    </w:p>
    <w:p w14:paraId="1E475ED8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Style w:val="7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（2024·甘肃·中考真题）阅读下面文言文，完成题目。</w:t>
      </w:r>
    </w:p>
    <w:p w14:paraId="51544657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【甲】</w:t>
      </w:r>
    </w:p>
    <w:p w14:paraId="1218C096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富贵不能淫</w:t>
      </w:r>
    </w:p>
    <w:p w14:paraId="1F9C33A7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景春曰：“公孙衍、张仪岂不诚大丈夫哉？一怒而诸侯惧，安居而天下熄。”</w:t>
      </w:r>
    </w:p>
    <w:p w14:paraId="64124CC8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孟子曰：“是焉得为大丈夫乎？子未学礼乎？丈夫之冠也，父命之；女子之嫁也，母命之，往送之门，戒之曰：‘往之女家，必敬必戒，无违夫子！’以顺为正者，妾妇之道也。居天下之广居，立天下之正位，行天下之大道。得志，与民由之；不得志，独行其道。富贵不能淫，贫贱不能移，威武不能屈。此之谓大丈夫。”</w:t>
      </w:r>
    </w:p>
    <w:p w14:paraId="2BE0F7A4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【乙】</w:t>
      </w:r>
    </w:p>
    <w:p w14:paraId="70642D95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十五年正月，（史）思明攻常山郡，城中兵少，众寡不敌，御备皆竭。其月八日，城陷，（颜）杲卿、（袁）履谦为贼所执，送于东都。思明既陷常山，遂攻诸郡，邺、广平、钜鹿、赵郡、上谷、博陵、文安、魏郡、信都，复为贼守。禄山见杲卿，面贵之曰：“汝昨自范阳户曹，我奏为判官，遂得光禄、太常二丞，便用汝摄常山太守，负汝何事而背我耶？”杲卿瞋目而报曰：“我世为唐臣，常守忠义，纵受汝奏署，复合从汝反乎！且汝本营州一牧羊羯奴耳，叨窃恩宠，致身及此，天子负汝何事而汝反耶？”禄山怒甚，令缚于中桥南头从西第二柱，节解之，比至气绝，大骂不息。</w:t>
      </w:r>
    </w:p>
    <w:p w14:paraId="3EF70C3B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（节选自《旧唐书·列传第一百三十七·忠义》）</w:t>
      </w:r>
    </w:p>
    <w:p w14:paraId="6AB17D77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70．解释下列加点词。</w:t>
      </w:r>
    </w:p>
    <w:p w14:paraId="212531BD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（1）岂不诚大丈夫哉（2）往之女家</w:t>
      </w:r>
    </w:p>
    <w:p w14:paraId="61F514AA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（3）御备皆竭（4）比至气绝</w:t>
      </w:r>
    </w:p>
    <w:p w14:paraId="5C49D7CF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71．下列加点词的意思和用法相同的一项是（）</w:t>
      </w:r>
    </w:p>
    <w:p w14:paraId="2EADA867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A．女子之嫁也，母命之辍耕之垄上（《陈涉世家》）</w:t>
      </w:r>
    </w:p>
    <w:p w14:paraId="731F676B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B．以顺为正者徒以有先生也（《唐雎不辱使命》）</w:t>
      </w:r>
    </w:p>
    <w:p w14:paraId="34E2E942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C．杲卿、履谦为贼所执为宫室、器皿、人物（《核舟记》）</w:t>
      </w:r>
    </w:p>
    <w:p w14:paraId="494A6EE1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D．面责之曰能面刺寡人之过者（《邹忌讽齐王纳谏》）</w:t>
      </w:r>
    </w:p>
    <w:p w14:paraId="7836D76D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72．翻译下列句子。</w:t>
      </w:r>
    </w:p>
    <w:p w14:paraId="2DBF919A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（1）富贵不能淫，贫贱不能移，威武不能屈。</w:t>
      </w:r>
    </w:p>
    <w:p w14:paraId="048F6519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（2）天子负汝何事而汝反耶？</w:t>
      </w:r>
    </w:p>
    <w:p w14:paraId="6FCF6826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73．阅读文章，回答下面问题。</w:t>
      </w:r>
    </w:p>
    <w:p w14:paraId="631B9AB7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（1）【甲】文中，孟子为什么认为公孙衍、张仪不是大丈夫？</w:t>
      </w:r>
    </w:p>
    <w:p w14:paraId="496B0FE7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（2）【乙】文中的颜杲卿算不算孟子心中的大丈夫？为什么？</w:t>
      </w:r>
    </w:p>
    <w:p w14:paraId="137AAE29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Style w:val="7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【答案】70． 真正，确实。 同“汝”，你。 完，尽。（穷尽） 等到。 71．D 72．（1）富贵不能使他迷惑，贫贱不能使他动摇，威武不能使他屈服。</w:t>
      </w:r>
    </w:p>
    <w:p w14:paraId="7FBD8F53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Style w:val="7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（2）天子有什么事亏待了你而你却反叛呢？73．（1）孟子认为公孙衍、张仪的做法是“以顺为正”的“妾妇之道”，没有独立的人格，他们所作的一切都是在迎合君王的喜好。</w:t>
      </w:r>
    </w:p>
    <w:p w14:paraId="79504D27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Style w:val="7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2）算。颜杲卿和袁履谦带领常山郡士兵抵抗史思明，坚守到底；被捕后，保持忠义，并不因为安禄山推荐了自己就跟着反叛；指出安禄山骗取天子的恩宠才得到今天的地位却背叛了天子；被肢解，直到断气，仍大骂安禄山。颜杲卿坚守道义，“威武不能屈”，是大丈夫。（答出任意3点即可）</w:t>
      </w:r>
    </w:p>
    <w:p w14:paraId="7BCD940B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Style w:val="7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（2024·四川眉山·中考真题）阅读下面一篇文言文，完成下面小题。</w:t>
      </w:r>
    </w:p>
    <w:p w14:paraId="73F5CF25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有蜀君子曰苏君，讳洵，字明允，眉州眉山人也。君之行义修于家，信①于乡里，闻于蜀之人久矣。当至和、嘉祐之间，与其二子轼、辙偕至京师，翰林学士欧阳修得其所著书二十二篇，献诸朝。书既出而公卿士大夫争传之其二子举进士皆在高等亦以文学称于时。君之文博辩宏伟，读者悚然想见其人。既见，而温温似不能言，及即之，与居愈久，而愈可爱。</w:t>
      </w:r>
    </w:p>
    <w:p w14:paraId="32992FA6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父讳序，赠尚书职方员外郎。职方君三子：曰澹，曰涣，皆以文学举进士，而君少，独不喜学，年已壮，犹不知书。职方君纵而不问，乡闾亲族皆怪之。或问其故，职方君笑而不答，君亦自如也。年二十七，始大发愤，谢其素所往来少年，闭户读书，为文辞。岁余，举进士，再不中，又举茂才异等，不中，退而叹曰：“此不足为吾学也。”悉取所为文数百篇焚之。绝笔不为文辞者五六年，乃大究百家之说，以考质古今治乱成败、圣贤穷达出处之际，得其精粹，涵畜充溢，抑而不发。久之，慨然曰：“可矣！”由是下笔，顷刻数千言，其纵横上下，出入驰骤，必造于深微而后止。自来京师，一时后生学者皆尊其贤，学其文，以为师法。以其父子俱知名，故号“老苏”以别之。</w:t>
      </w:r>
    </w:p>
    <w:p w14:paraId="2038FECF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（节选自欧阳修《故霸州文安县主簿苏君墓志铭并序》）</w:t>
      </w:r>
    </w:p>
    <w:p w14:paraId="4FDC125E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[注]①信：通“伸”，伸张，这里是影响的意思。</w:t>
      </w:r>
    </w:p>
    <w:p w14:paraId="240865E1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74．下列对文中画波浪线部分的断句，正确的一项是（）</w:t>
      </w:r>
    </w:p>
    <w:p w14:paraId="6918A912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A．书既出/而公卿士大夫争传之/其二子举/进士皆在高等/亦以文学称于时</w:t>
      </w:r>
    </w:p>
    <w:p w14:paraId="17BAA0F9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B．书既出/而公卿士大夫争传之/其二子举进士/皆在高等/亦以文学称于时</w:t>
      </w:r>
    </w:p>
    <w:p w14:paraId="62FC2984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C．书既出而公卿/士大夫争传之/其二子举/进士皆在高等/亦以文学称于时</w:t>
      </w:r>
    </w:p>
    <w:p w14:paraId="43D42240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D．书既出而公卿/士大夫争传之/其二子举进士/皆在高等/亦以文学称于时</w:t>
      </w:r>
    </w:p>
    <w:p w14:paraId="4EB48570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75．下面对句中加点词意义的理解与推断，不正确的一项是（）</w:t>
      </w:r>
    </w:p>
    <w:p w14:paraId="2021C5A7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A．由课文“若有作奸犯科及为忠善者”，可推知“及即之”中“及”字意义为“与，和”。</w:t>
      </w:r>
    </w:p>
    <w:p w14:paraId="61C2090F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B．联系成语“闭门谢客”，可以推知“谢其素所往来少年”中“谢”字的意义为“谢绝”。</w:t>
      </w:r>
    </w:p>
    <w:p w14:paraId="70892AA0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C．查字典，“究”有“探究”“追究”等义项，“大究百家之说”中“究”应选择“探究”。</w:t>
      </w:r>
    </w:p>
    <w:p w14:paraId="38A53352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D．由名句“穷则独善其身”，可以推知“穷达出处”中“穷”字意义为“困厄，处于困境”。</w:t>
      </w:r>
    </w:p>
    <w:p w14:paraId="0EA8701C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76．下列对文章内容的理解与分析，不正确的一项是（）</w:t>
      </w:r>
    </w:p>
    <w:p w14:paraId="21E43B0D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A．苏洵在家修养自己的品行和德义，影响到家乡的父老们，后来在整个蜀郡也颇有声名。</w:t>
      </w:r>
    </w:p>
    <w:p w14:paraId="61E94F55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B．苏洵的两位兄长都凭借才学中举，而他年少时不喜欢读书，直到二十七岁才发奋努力。</w:t>
      </w:r>
    </w:p>
    <w:p w14:paraId="337F6438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C．苏洵参加科考，屡试不中，感叹自己还没有足够的能力学习，有五六年时间不写文章。</w:t>
      </w:r>
    </w:p>
    <w:p w14:paraId="680E9025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D．苏洵为人温和，大器晚成，写文章有真知灼见，京师的学子们都尊崇他，效法其文。</w:t>
      </w:r>
    </w:p>
    <w:p w14:paraId="05E9CC24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77．把文中画横线的句子翻译成现代汉语。</w:t>
      </w:r>
    </w:p>
    <w:p w14:paraId="50F933CE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（1）悉取所为文数百篇焚之。</w:t>
      </w:r>
    </w:p>
    <w:p w14:paraId="4EE38FEE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20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（2）以其父子俱知名，故号“老苏”以别之。</w:t>
      </w:r>
    </w:p>
    <w:p w14:paraId="64128280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00" w:beforeAutospacing="0" w:after="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18"/>
          <w:szCs w:val="18"/>
        </w:rPr>
      </w:pPr>
      <w:r>
        <w:rPr>
          <w:rStyle w:val="7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222222"/>
          <w:spacing w:val="0"/>
          <w:sz w:val="18"/>
          <w:szCs w:val="18"/>
          <w:bdr w:val="none" w:color="auto" w:sz="0" w:space="0"/>
          <w:shd w:val="clear" w:fill="FFFFFF"/>
        </w:rPr>
        <w:t>【答案】74．B 75．A 76．C 77．（1）把自己先前写的数百篇文章拿来全部烧掉。（2）因为他们父子三人都很出名，所以称他“老苏”来区别他们。</w:t>
      </w:r>
    </w:p>
    <w:p w14:paraId="49DC18C7">
      <w:pPr>
        <w:rPr>
          <w:rFonts w:hint="eastAsia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A2ODU5NjFjYWY4YjE2ZDhhMjQ1ZmJjMTkzMmI2MmIifQ=="/>
  </w:docVars>
  <w:rsids>
    <w:rsidRoot w:val="27C650FC"/>
    <w:rsid w:val="049971CC"/>
    <w:rsid w:val="05E94C3F"/>
    <w:rsid w:val="15F72633"/>
    <w:rsid w:val="27C650FC"/>
    <w:rsid w:val="33D444DD"/>
    <w:rsid w:val="433517DB"/>
    <w:rsid w:val="539E02F6"/>
    <w:rsid w:val="5B4A1F40"/>
    <w:rsid w:val="691E21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Strong"/>
    <w:basedOn w:val="6"/>
    <w:qFormat/>
    <w:uiPriority w:val="0"/>
    <w:rPr>
      <w:b/>
    </w:rPr>
  </w:style>
  <w:style w:type="character" w:styleId="8">
    <w:name w:val="Emphasis"/>
    <w:basedOn w:val="6"/>
    <w:qFormat/>
    <w:uiPriority w:val="0"/>
    <w:rPr>
      <w:i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9689</Words>
  <Characters>9999</Characters>
  <Lines>0</Lines>
  <Paragraphs>0</Paragraphs>
  <TotalTime>3</TotalTime>
  <ScaleCrop>false</ScaleCrop>
  <LinksUpToDate>false</LinksUpToDate>
  <CharactersWithSpaces>10025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2024-05-25T10:11:00Z</dcterms:created>
  <dc:creator>追寻</dc:creator>
  <cp:lastModifiedBy>追寻</cp:lastModifiedBy>
  <dcterms:modified xsi:type="dcterms:W3CDTF">2024-09-22T07:07:30Z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E979BE11D10443E695889A36333CC09F_13</vt:lpwstr>
  </property>
</Properties>
</file>