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C76FB">
      <w:pPr>
        <w:widowControl w:val="0"/>
        <w:spacing w:before="0" w:after="0" w:line="286" w:lineRule="auto"/>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11836400</wp:posOffset>
            </wp:positionH>
            <wp:positionV relativeFrom="topMargin">
              <wp:posOffset>12496800</wp:posOffset>
            </wp:positionV>
            <wp:extent cx="285750" cy="333375"/>
            <wp:effectExtent l="0" t="0" r="0"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285750" cy="333375"/>
                    </a:xfrm>
                    <a:prstGeom prst="rect">
                      <a:avLst/>
                    </a:prstGeom>
                  </pic:spPr>
                </pic:pic>
              </a:graphicData>
            </a:graphic>
          </wp:anchor>
        </w:drawing>
      </w:r>
      <w:r>
        <w:rPr>
          <w:rFonts w:ascii="宋体" w:hAnsi="宋体" w:eastAsia="宋体" w:cs="宋体"/>
          <w:b/>
          <w:bCs/>
          <w:sz w:val="32"/>
          <w:szCs w:val="32"/>
        </w:rPr>
        <w:t>山东省2024年普通高中学业水平等级考试</w:t>
      </w:r>
    </w:p>
    <w:p w14:paraId="5B4FF6D9">
      <w:pPr>
        <w:widowControl w:val="0"/>
        <w:spacing w:before="0" w:after="0" w:line="286" w:lineRule="auto"/>
        <w:jc w:val="center"/>
        <w:rPr>
          <w:sz w:val="32"/>
          <w:szCs w:val="32"/>
        </w:rPr>
      </w:pPr>
      <w:r>
        <w:rPr>
          <w:rFonts w:ascii="宋体" w:hAnsi="宋体" w:eastAsia="宋体" w:cs="宋体"/>
          <w:b/>
          <w:bCs/>
          <w:sz w:val="32"/>
          <w:szCs w:val="32"/>
        </w:rPr>
        <w:t>历史</w:t>
      </w:r>
    </w:p>
    <w:p w14:paraId="071175F5">
      <w:pPr>
        <w:widowControl w:val="0"/>
        <w:spacing w:before="0" w:after="0" w:line="286" w:lineRule="auto"/>
      </w:pPr>
      <w:r>
        <w:rPr>
          <w:rFonts w:ascii="宋体" w:hAnsi="宋体" w:eastAsia="宋体" w:cs="宋体"/>
          <w:b/>
          <w:bCs/>
        </w:rPr>
        <w:t>一、选择题：本题共</w:t>
      </w:r>
      <w:r>
        <w:rPr>
          <w:b/>
          <w:bCs/>
        </w:rPr>
        <w:t>15</w:t>
      </w:r>
      <w:r>
        <w:rPr>
          <w:rFonts w:ascii="宋体" w:hAnsi="宋体" w:eastAsia="宋体" w:cs="宋体"/>
          <w:b/>
          <w:bCs/>
        </w:rPr>
        <w:t>小题，每小题</w:t>
      </w:r>
      <w:r>
        <w:rPr>
          <w:b/>
          <w:bCs/>
        </w:rPr>
        <w:t>3</w:t>
      </w:r>
      <w:r>
        <w:rPr>
          <w:rFonts w:ascii="宋体" w:hAnsi="宋体" w:eastAsia="宋体" w:cs="宋体"/>
          <w:b/>
          <w:bCs/>
        </w:rPr>
        <w:t>分，共</w:t>
      </w:r>
      <w:r>
        <w:rPr>
          <w:b/>
          <w:bCs/>
        </w:rPr>
        <w:t>45</w:t>
      </w:r>
      <w:r>
        <w:rPr>
          <w:rFonts w:ascii="宋体" w:hAnsi="宋体" w:eastAsia="宋体" w:cs="宋体"/>
          <w:b/>
          <w:bCs/>
        </w:rPr>
        <w:t>分。每小题只有一个选项符合题目要求。</w:t>
      </w:r>
    </w:p>
    <w:p w14:paraId="092AF00E">
      <w:pPr>
        <w:widowControl w:val="0"/>
        <w:spacing w:before="0" w:after="0" w:line="360" w:lineRule="auto"/>
        <w:rPr>
          <w:sz w:val="21"/>
          <w:szCs w:val="21"/>
        </w:rPr>
      </w:pPr>
      <w:r>
        <w:rPr>
          <w:sz w:val="21"/>
          <w:szCs w:val="21"/>
        </w:rPr>
        <w:t xml:space="preserve">1. </w:t>
      </w:r>
      <w:r>
        <w:rPr>
          <w:rFonts w:ascii="宋体" w:hAnsi="宋体" w:eastAsia="宋体" w:cs="宋体"/>
          <w:sz w:val="21"/>
          <w:szCs w:val="21"/>
        </w:rPr>
        <w:t>商业是社会发展到一定阶段的产物。下列四处考古遗址所出土器物能表明商业已有较高程度发展的是（</w:t>
      </w:r>
      <w:r>
        <w:rPr>
          <w:sz w:val="21"/>
          <w:szCs w:val="21"/>
        </w:rPr>
        <w:t xml:space="preserve">    </w:t>
      </w:r>
      <w:r>
        <w:rPr>
          <w:rFonts w:ascii="宋体" w:hAnsi="宋体" w:eastAsia="宋体" w:cs="宋体"/>
          <w:sz w:val="21"/>
          <w:szCs w:val="21"/>
        </w:rPr>
        <w:t>）</w:t>
      </w:r>
    </w:p>
    <w:p w14:paraId="7D794F8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陶釜、蚌器、骨角器等</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指环、牙器、臂玉环等</w:t>
      </w:r>
    </w:p>
    <w:p w14:paraId="3AEF214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石斧、石磨棒、石磨盘等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骨贝、青铜贝、包金贝等</w:t>
      </w:r>
    </w:p>
    <w:p w14:paraId="7EA520CA">
      <w:pPr>
        <w:widowControl w:val="0"/>
        <w:spacing w:before="0" w:after="0" w:line="360" w:lineRule="auto"/>
        <w:rPr>
          <w:sz w:val="21"/>
          <w:szCs w:val="21"/>
        </w:rPr>
      </w:pPr>
      <w:r>
        <w:rPr>
          <w:sz w:val="21"/>
          <w:szCs w:val="21"/>
        </w:rPr>
        <w:t xml:space="preserve">2. </w:t>
      </w:r>
      <w:r>
        <w:rPr>
          <w:rFonts w:ascii="宋体" w:hAnsi="宋体" w:eastAsia="宋体" w:cs="宋体"/>
          <w:sz w:val="21"/>
          <w:szCs w:val="21"/>
        </w:rPr>
        <w:t>西周时期，诸侯国在奉行周礼的同时，多尊重当地原有的风俗；春秋战国时期，诸侯国变革礼制，移风易俗，成为一种普遍现象。诸侯国转变做法主要是为了（</w:t>
      </w:r>
      <w:r>
        <w:rPr>
          <w:sz w:val="21"/>
          <w:szCs w:val="21"/>
        </w:rPr>
        <w:t xml:space="preserve">    </w:t>
      </w:r>
      <w:r>
        <w:rPr>
          <w:rFonts w:ascii="宋体" w:hAnsi="宋体" w:eastAsia="宋体" w:cs="宋体"/>
          <w:sz w:val="21"/>
          <w:szCs w:val="21"/>
        </w:rPr>
        <w:t>）</w:t>
      </w:r>
    </w:p>
    <w:p w14:paraId="2233D9E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重构统治秩序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限制贵族特权</w:t>
      </w:r>
    </w:p>
    <w:p w14:paraId="1A00B62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以德行教化民众</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打破宗法血缘关系</w:t>
      </w:r>
    </w:p>
    <w:p w14:paraId="7F3E7FD5">
      <w:pPr>
        <w:widowControl w:val="0"/>
        <w:spacing w:before="0" w:after="0" w:line="360" w:lineRule="auto"/>
        <w:rPr>
          <w:sz w:val="21"/>
          <w:szCs w:val="21"/>
        </w:rPr>
      </w:pPr>
      <w:r>
        <w:rPr>
          <w:sz w:val="21"/>
          <w:szCs w:val="21"/>
        </w:rPr>
        <w:t xml:space="preserve">3. </w:t>
      </w:r>
      <w:r>
        <w:rPr>
          <w:rFonts w:ascii="宋体" w:hAnsi="宋体" w:eastAsia="宋体" w:cs="宋体"/>
          <w:sz w:val="21"/>
          <w:szCs w:val="21"/>
        </w:rPr>
        <w:t>下表为《宋史·王猎传》中的相关记载。王猎的经历反映出宋代（</w:t>
      </w:r>
      <w:r>
        <w:rPr>
          <w:sz w:val="21"/>
          <w:szCs w:val="21"/>
        </w:rPr>
        <w:t xml:space="preserve">    </w:t>
      </w:r>
      <w:r>
        <w:rPr>
          <w:rFonts w:ascii="宋体" w:hAnsi="宋体" w:eastAsia="宋体" w:cs="宋体"/>
          <w:sz w:val="21"/>
          <w:szCs w:val="21"/>
        </w:rPr>
        <w:t>）</w:t>
      </w:r>
    </w:p>
    <w:tbl>
      <w:tblPr>
        <w:tblStyle w:val="4"/>
        <w:tblW w:w="622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225"/>
      </w:tblGrid>
      <w:tr w14:paraId="32ECC71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225" w:type="dxa"/>
            <w:noWrap w:val="0"/>
            <w:tcMar>
              <w:top w:w="76" w:type="dxa"/>
              <w:left w:w="120" w:type="dxa"/>
              <w:bottom w:w="76" w:type="dxa"/>
              <w:right w:w="120" w:type="dxa"/>
            </w:tcMar>
            <w:vAlign w:val="center"/>
          </w:tcPr>
          <w:p w14:paraId="23B57A0D">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王猎，字得之，长垣人。累应进士不第，乃治生积钱，既而叹曰：“此败吾志也。”悉以班（分发）诸亲族。庆历用兵，诏求遗逸，范仲淹荐之，得出身为永兴蓝田主薄。……</w:t>
            </w:r>
          </w:p>
        </w:tc>
      </w:tr>
    </w:tbl>
    <w:p w14:paraId="2FA4BE67">
      <w:pPr>
        <w:widowControl w:val="0"/>
        <w:spacing w:before="0" w:after="0" w:line="360" w:lineRule="auto"/>
        <w:rPr>
          <w:sz w:val="21"/>
          <w:szCs w:val="21"/>
        </w:rPr>
      </w:pPr>
    </w:p>
    <w:p w14:paraId="1E6486E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士人价值取向发生变化</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传统观念制约阶层流动</w:t>
      </w:r>
    </w:p>
    <w:p w14:paraId="51D0FE6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w:t>
      </w:r>
      <w:r>
        <w:rPr>
          <w:strike w:val="0"/>
          <w:sz w:val="21"/>
          <w:szCs w:val="21"/>
          <w:u w:val="none"/>
        </w:rPr>
        <w:drawing>
          <wp:inline distT="0" distB="0" distL="114300" distR="114300">
            <wp:extent cx="38100" cy="952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商人政治地位得到提高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经济发展影响选官方式</w:t>
      </w:r>
    </w:p>
    <w:p w14:paraId="3274AD24">
      <w:pPr>
        <w:widowControl w:val="0"/>
        <w:spacing w:before="0" w:after="0" w:line="360" w:lineRule="auto"/>
        <w:rPr>
          <w:sz w:val="21"/>
          <w:szCs w:val="21"/>
        </w:rPr>
      </w:pPr>
      <w:r>
        <w:rPr>
          <w:sz w:val="21"/>
          <w:szCs w:val="21"/>
        </w:rPr>
        <w:t xml:space="preserve">4. </w:t>
      </w:r>
      <w:r>
        <w:rPr>
          <w:rFonts w:ascii="宋体" w:hAnsi="宋体" w:eastAsia="宋体" w:cs="宋体"/>
          <w:sz w:val="21"/>
          <w:szCs w:val="21"/>
        </w:rPr>
        <w:t>宋元时期，畜牧兽医专著记述最多</w:t>
      </w:r>
      <w:r>
        <w:rPr>
          <w:strike w:val="0"/>
          <w:sz w:val="21"/>
          <w:szCs w:val="21"/>
          <w:u w:val="none"/>
        </w:rPr>
        <w:drawing>
          <wp:inline distT="0" distB="0" distL="114300" distR="114300">
            <wp:extent cx="133350" cy="180975"/>
            <wp:effectExtent l="0" t="0" r="0" b="889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是马，并以医马、相马的书为多；明清时期，最主要的记述对象是牛，各种相牛、养牛、医牛的书占畜牧兽医专著总数的</w:t>
      </w:r>
      <w:r>
        <w:rPr>
          <w:sz w:val="21"/>
          <w:szCs w:val="21"/>
        </w:rPr>
        <w:t>50%</w:t>
      </w:r>
      <w:r>
        <w:rPr>
          <w:rFonts w:ascii="宋体" w:hAnsi="宋体" w:eastAsia="宋体" w:cs="宋体"/>
          <w:sz w:val="21"/>
          <w:szCs w:val="21"/>
        </w:rPr>
        <w:t>以上。这是因为明清时期（</w:t>
      </w:r>
      <w:r>
        <w:rPr>
          <w:sz w:val="21"/>
          <w:szCs w:val="21"/>
        </w:rPr>
        <w:t xml:space="preserve">    </w:t>
      </w:r>
      <w:r>
        <w:rPr>
          <w:rFonts w:ascii="宋体" w:hAnsi="宋体" w:eastAsia="宋体" w:cs="宋体"/>
          <w:sz w:val="21"/>
          <w:szCs w:val="21"/>
        </w:rPr>
        <w:t>）</w:t>
      </w:r>
    </w:p>
    <w:p w14:paraId="6264622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政府强化了军事资源控制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土地兼并进一步加剧</w:t>
      </w:r>
    </w:p>
    <w:p w14:paraId="3404578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政治相对稳定促进了经济发展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游牧文明与农耕文明交融加强</w:t>
      </w:r>
    </w:p>
    <w:p w14:paraId="07FDCF23">
      <w:pPr>
        <w:widowControl w:val="0"/>
        <w:spacing w:before="0" w:after="0" w:line="360" w:lineRule="auto"/>
        <w:rPr>
          <w:sz w:val="21"/>
          <w:szCs w:val="21"/>
        </w:rPr>
      </w:pPr>
      <w:r>
        <w:rPr>
          <w:sz w:val="21"/>
          <w:szCs w:val="21"/>
        </w:rPr>
        <w:t xml:space="preserve">5. </w:t>
      </w:r>
      <w:r>
        <w:rPr>
          <w:rFonts w:ascii="宋体" w:hAnsi="宋体" w:eastAsia="宋体" w:cs="宋体"/>
          <w:sz w:val="21"/>
          <w:szCs w:val="21"/>
        </w:rPr>
        <w:t>下表为</w:t>
      </w:r>
      <w:r>
        <w:rPr>
          <w:sz w:val="21"/>
          <w:szCs w:val="21"/>
        </w:rPr>
        <w:t>1846</w:t>
      </w:r>
      <w:r>
        <w:rPr>
          <w:rFonts w:ascii="宋体" w:hAnsi="宋体" w:eastAsia="宋体" w:cs="宋体"/>
          <w:sz w:val="21"/>
          <w:szCs w:val="21"/>
        </w:rPr>
        <w:t>—</w:t>
      </w:r>
      <w:r>
        <w:rPr>
          <w:sz w:val="21"/>
          <w:szCs w:val="21"/>
        </w:rPr>
        <w:t>1905</w:t>
      </w:r>
      <w:r>
        <w:rPr>
          <w:rFonts w:ascii="宋体" w:hAnsi="宋体" w:eastAsia="宋体" w:cs="宋体"/>
          <w:sz w:val="21"/>
          <w:szCs w:val="21"/>
        </w:rPr>
        <w:t>年英国建筑师在上海、汉口、天津、北京等四地</w:t>
      </w:r>
      <w:r>
        <w:rPr>
          <w:strike w:val="0"/>
          <w:sz w:val="21"/>
          <w:szCs w:val="21"/>
          <w:u w:val="none"/>
        </w:rPr>
        <w:drawing>
          <wp:inline distT="0" distB="0" distL="114300" distR="114300">
            <wp:extent cx="133350" cy="180975"/>
            <wp:effectExtent l="0" t="0" r="0" b="889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分布情况统计。这体现了（</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290"/>
        <w:gridCol w:w="660"/>
        <w:gridCol w:w="660"/>
        <w:gridCol w:w="660"/>
        <w:gridCol w:w="660"/>
      </w:tblGrid>
      <w:tr w14:paraId="448B2F2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54CE0555">
            <w:pPr>
              <w:widowControl w:val="0"/>
              <w:spacing w:before="0" w:after="0" w:line="360" w:lineRule="auto"/>
              <w:jc w:val="right"/>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城市</w:t>
            </w:r>
          </w:p>
          <w:p w14:paraId="40AA3318">
            <w:pPr>
              <w:widowControl w:val="0"/>
              <w:spacing w:before="0" w:after="0" w:line="360" w:lineRule="auto"/>
              <w:jc w:val="center"/>
              <w:rPr>
                <w:b w:val="0"/>
                <w:bCs w:val="0"/>
                <w:i w:val="0"/>
                <w:iCs w:val="0"/>
                <w:smallCaps w:val="0"/>
                <w:color w:val="000000"/>
                <w:sz w:val="21"/>
                <w:szCs w:val="21"/>
              </w:rPr>
            </w:pPr>
          </w:p>
          <w:p w14:paraId="3FC8F0E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人次</w:t>
            </w:r>
          </w:p>
          <w:p w14:paraId="3194F01B">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年份</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1DF6A9B">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上海</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0B37D65">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汉口</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046DE9F">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天津</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135DF40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北京</w:t>
            </w:r>
          </w:p>
        </w:tc>
      </w:tr>
      <w:tr w14:paraId="0E68332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659766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1846—1860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654891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1A20765">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AA9892B">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B82794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14:paraId="1B6C779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2A3345D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1861—1875</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3A4FEC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30F259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209EAA2">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62B1F4D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bl>
    <w:p w14:paraId="5F1463AD">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17" name="图片 100017"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page number 0"/>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7CCE8913">
      <w:pPr>
        <w:sectPr>
          <w:type w:val="continuous"/>
          <w:pgSz w:w="11927" w:h="16875"/>
          <w:pgMar w:top="800" w:right="1120" w:bottom="540" w:left="1120" w:header="708" w:footer="708" w:gutter="0"/>
          <w:cols w:space="708" w:num="1"/>
          <w:docGrid w:linePitch="360" w:charSpace="0"/>
        </w:sectPr>
      </w:pP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290"/>
        <w:gridCol w:w="555"/>
        <w:gridCol w:w="450"/>
        <w:gridCol w:w="450"/>
        <w:gridCol w:w="450"/>
      </w:tblGrid>
      <w:tr w14:paraId="078335C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0A9F90B5">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1876—1890</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E3156A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193</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4A10588">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B24CC7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2F88860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14:paraId="6D0C4F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6E1B3109">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1891—1905</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FE1DFF7">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353</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5913FC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15816D3">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67</w:t>
            </w:r>
          </w:p>
        </w:tc>
        <w:tc>
          <w:tcPr>
            <w:tcBorders>
              <w:top w:val="single" w:color="000000" w:sz="6" w:space="0"/>
              <w:left w:val="single" w:color="000000" w:sz="6" w:space="0"/>
            </w:tcBorders>
            <w:noWrap w:val="0"/>
            <w:tcMar>
              <w:top w:w="76" w:type="dxa"/>
              <w:left w:w="120" w:type="dxa"/>
              <w:bottom w:w="76" w:type="dxa"/>
              <w:right w:w="120" w:type="dxa"/>
            </w:tcMar>
            <w:vAlign w:val="center"/>
          </w:tcPr>
          <w:p w14:paraId="7B47CE4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w:t>
            </w:r>
          </w:p>
        </w:tc>
      </w:tr>
    </w:tbl>
    <w:p w14:paraId="22F4D38F">
      <w:pPr>
        <w:widowControl w:val="0"/>
        <w:spacing w:before="0" w:after="0" w:line="360" w:lineRule="auto"/>
        <w:rPr>
          <w:sz w:val="21"/>
          <w:szCs w:val="21"/>
        </w:rPr>
      </w:pPr>
    </w:p>
    <w:p w14:paraId="6721718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晚清外交的不断退让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英国势力范围的扩展</w:t>
      </w:r>
    </w:p>
    <w:p w14:paraId="5D2585E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列强侵略方式的转变</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中西文化交流的深入</w:t>
      </w:r>
    </w:p>
    <w:p w14:paraId="3B4C5F2C">
      <w:pPr>
        <w:widowControl w:val="0"/>
        <w:spacing w:before="0" w:after="0" w:line="360" w:lineRule="auto"/>
        <w:rPr>
          <w:sz w:val="21"/>
          <w:szCs w:val="21"/>
        </w:rPr>
      </w:pPr>
      <w:r>
        <w:rPr>
          <w:sz w:val="21"/>
          <w:szCs w:val="21"/>
        </w:rPr>
        <w:t>6. 1926</w:t>
      </w:r>
      <w:r>
        <w:rPr>
          <w:rFonts w:ascii="宋体" w:hAnsi="宋体" w:eastAsia="宋体" w:cs="宋体"/>
          <w:sz w:val="21"/>
          <w:szCs w:val="21"/>
        </w:rPr>
        <w:t>年</w:t>
      </w:r>
      <w:r>
        <w:rPr>
          <w:sz w:val="21"/>
          <w:szCs w:val="21"/>
        </w:rPr>
        <w:t>1</w:t>
      </w:r>
      <w:r>
        <w:rPr>
          <w:rFonts w:ascii="宋体" w:hAnsi="宋体" w:eastAsia="宋体" w:cs="宋体"/>
          <w:sz w:val="21"/>
          <w:szCs w:val="21"/>
        </w:rPr>
        <w:t>月，吴玉章在广州国民党二大期间的一次答词中说：民国元年的革命虽然成功，但所主张的不过是十八世纪法国式的革命，“拿百年前的旧方法，应付现在的新环境，当然是走不通的”。他强调的是（</w:t>
      </w:r>
      <w:r>
        <w:rPr>
          <w:sz w:val="21"/>
          <w:szCs w:val="21"/>
        </w:rPr>
        <w:t xml:space="preserve">    </w:t>
      </w:r>
      <w:r>
        <w:rPr>
          <w:rFonts w:ascii="宋体" w:hAnsi="宋体" w:eastAsia="宋体" w:cs="宋体"/>
          <w:sz w:val="21"/>
          <w:szCs w:val="21"/>
        </w:rPr>
        <w:t>）</w:t>
      </w:r>
    </w:p>
    <w:p w14:paraId="7FA4BEB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工农群众的革命主力军作用</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创新革命理论的紧迫性</w:t>
      </w:r>
    </w:p>
    <w:p w14:paraId="0EE82A2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需要吸取法国大革命的教训</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推进国民革命的必要性</w:t>
      </w:r>
    </w:p>
    <w:p w14:paraId="52D34448">
      <w:pPr>
        <w:widowControl w:val="0"/>
        <w:spacing w:before="0" w:after="0" w:line="360" w:lineRule="auto"/>
        <w:rPr>
          <w:sz w:val="21"/>
          <w:szCs w:val="21"/>
        </w:rPr>
      </w:pPr>
      <w:r>
        <w:rPr>
          <w:sz w:val="21"/>
          <w:szCs w:val="21"/>
        </w:rPr>
        <w:t xml:space="preserve">7. </w:t>
      </w:r>
      <w:r>
        <w:rPr>
          <w:rFonts w:ascii="宋体" w:hAnsi="宋体" w:eastAsia="宋体" w:cs="宋体"/>
          <w:sz w:val="21"/>
          <w:szCs w:val="21"/>
        </w:rPr>
        <w:t>在新民主主义革命实践中，中国共产党领导创办了</w:t>
      </w:r>
      <w:r>
        <w:rPr>
          <w:sz w:val="21"/>
          <w:szCs w:val="21"/>
        </w:rPr>
        <w:t>4500</w:t>
      </w:r>
      <w:r>
        <w:rPr>
          <w:rFonts w:ascii="宋体" w:hAnsi="宋体" w:eastAsia="宋体" w:cs="宋体"/>
          <w:sz w:val="21"/>
          <w:szCs w:val="21"/>
        </w:rPr>
        <w:t>余种报刊。这些报刊的命名在不同历史时期呈现出不同特征，使用了不同的关键词。在“红旗”“红色”“工人”“青年”等成为报刊命名高频用词的历史时期。中国共产党（</w:t>
      </w:r>
      <w:r>
        <w:rPr>
          <w:sz w:val="21"/>
          <w:szCs w:val="21"/>
        </w:rPr>
        <w:t xml:space="preserve">    </w:t>
      </w:r>
      <w:r>
        <w:rPr>
          <w:rFonts w:ascii="宋体" w:hAnsi="宋体" w:eastAsia="宋体" w:cs="宋体"/>
          <w:sz w:val="21"/>
          <w:szCs w:val="21"/>
        </w:rPr>
        <w:t>）</w:t>
      </w:r>
    </w:p>
    <w:p w14:paraId="3000748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确定了民主革命纲领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形成了工农武装割据思想</w:t>
      </w:r>
    </w:p>
    <w:p w14:paraId="42BD752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制定了全面抗战路线</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提出工作重心向城市转移</w:t>
      </w:r>
    </w:p>
    <w:p w14:paraId="71993290">
      <w:pPr>
        <w:widowControl w:val="0"/>
        <w:spacing w:before="0" w:after="0" w:line="360" w:lineRule="auto"/>
        <w:rPr>
          <w:sz w:val="21"/>
          <w:szCs w:val="21"/>
        </w:rPr>
      </w:pPr>
      <w:r>
        <w:rPr>
          <w:sz w:val="21"/>
          <w:szCs w:val="21"/>
        </w:rPr>
        <w:t>8. 1979</w:t>
      </w:r>
      <w:r>
        <w:rPr>
          <w:rFonts w:ascii="宋体" w:hAnsi="宋体" w:eastAsia="宋体" w:cs="宋体"/>
          <w:sz w:val="21"/>
          <w:szCs w:val="21"/>
        </w:rPr>
        <w:t>年，中国科学院将办院方针概括为“侧重基础、侧重提高，为国民经济和国防建设服务”；</w:t>
      </w:r>
      <w:r>
        <w:rPr>
          <w:sz w:val="21"/>
          <w:szCs w:val="21"/>
        </w:rPr>
        <w:t>1984</w:t>
      </w:r>
      <w:r>
        <w:rPr>
          <w:rFonts w:ascii="宋体" w:hAnsi="宋体" w:eastAsia="宋体" w:cs="宋体"/>
          <w:sz w:val="21"/>
          <w:szCs w:val="21"/>
        </w:rPr>
        <w:t>年，提出的新办院方针是“大力加强应用研究，积极而有选择地参加发展工作，继续重视基础研究”。办院方针的调整旨在（</w:t>
      </w:r>
      <w:r>
        <w:rPr>
          <w:sz w:val="21"/>
          <w:szCs w:val="21"/>
        </w:rPr>
        <w:t xml:space="preserve">    </w:t>
      </w:r>
      <w:r>
        <w:rPr>
          <w:rFonts w:ascii="宋体" w:hAnsi="宋体" w:eastAsia="宋体" w:cs="宋体"/>
          <w:sz w:val="21"/>
          <w:szCs w:val="21"/>
        </w:rPr>
        <w:t>）</w:t>
      </w:r>
    </w:p>
    <w:p w14:paraId="3E213FD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服务国家经济建设大局</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提升自主创新能力</w:t>
      </w:r>
    </w:p>
    <w:p w14:paraId="2456F4F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促进科学技术人才流动</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贯彻“科教兴国”战略</w:t>
      </w:r>
    </w:p>
    <w:p w14:paraId="5F5E2775">
      <w:pPr>
        <w:widowControl w:val="0"/>
        <w:spacing w:before="0" w:after="0" w:line="360" w:lineRule="auto"/>
        <w:rPr>
          <w:sz w:val="21"/>
          <w:szCs w:val="21"/>
        </w:rPr>
      </w:pPr>
      <w:r>
        <w:rPr>
          <w:sz w:val="21"/>
          <w:szCs w:val="21"/>
        </w:rPr>
        <w:t>9. 20</w:t>
      </w:r>
      <w:r>
        <w:rPr>
          <w:rFonts w:ascii="宋体" w:hAnsi="宋体" w:eastAsia="宋体" w:cs="宋体"/>
          <w:sz w:val="21"/>
          <w:szCs w:val="21"/>
        </w:rPr>
        <w:t>世纪</w:t>
      </w:r>
      <w:r>
        <w:rPr>
          <w:sz w:val="21"/>
          <w:szCs w:val="21"/>
        </w:rPr>
        <w:t>80</w:t>
      </w:r>
      <w:r>
        <w:rPr>
          <w:rFonts w:ascii="宋体" w:hAnsi="宋体" w:eastAsia="宋体" w:cs="宋体"/>
          <w:sz w:val="21"/>
          <w:szCs w:val="21"/>
        </w:rPr>
        <w:t>年代，邓小平多次表示，世界总人口约四分之一分布在苏联、西欧、北美、日本等地。“很难说这十一二亿人口的继续发展能够建筑在三十多亿人口的继续贫困的基础上”。中国的外交主张中与这种认识相契合的是（</w:t>
      </w:r>
      <w:r>
        <w:rPr>
          <w:sz w:val="21"/>
          <w:szCs w:val="21"/>
        </w:rPr>
        <w:t xml:space="preserve">    </w:t>
      </w:r>
      <w:r>
        <w:rPr>
          <w:rFonts w:ascii="宋体" w:hAnsi="宋体" w:eastAsia="宋体" w:cs="宋体"/>
          <w:sz w:val="21"/>
          <w:szCs w:val="21"/>
        </w:rPr>
        <w:t>）</w:t>
      </w:r>
    </w:p>
    <w:p w14:paraId="456888E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结伴而不结盟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改善南北关系</w:t>
      </w:r>
    </w:p>
    <w:p w14:paraId="72EA925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w:t>
      </w:r>
      <w:r>
        <w:rPr>
          <w:strike w:val="0"/>
          <w:sz w:val="21"/>
          <w:szCs w:val="21"/>
          <w:u w:val="none"/>
        </w:rPr>
        <w:drawing>
          <wp:inline distT="0" distB="0" distL="114300" distR="114300">
            <wp:extent cx="38100" cy="9525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2"/>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推进大国协调合作</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与周边国家共同发展</w:t>
      </w:r>
    </w:p>
    <w:p w14:paraId="1F020462">
      <w:pPr>
        <w:widowControl w:val="0"/>
        <w:spacing w:before="0" w:after="0" w:line="360" w:lineRule="auto"/>
        <w:rPr>
          <w:sz w:val="21"/>
          <w:szCs w:val="21"/>
        </w:rPr>
      </w:pPr>
      <w:r>
        <w:rPr>
          <w:sz w:val="21"/>
          <w:szCs w:val="21"/>
        </w:rPr>
        <w:t xml:space="preserve">10. </w:t>
      </w:r>
      <w:r>
        <w:rPr>
          <w:rFonts w:ascii="宋体" w:hAnsi="宋体" w:eastAsia="宋体" w:cs="宋体"/>
          <w:sz w:val="21"/>
          <w:szCs w:val="21"/>
        </w:rPr>
        <w:t>左图为古埃及国王献给太阳神庙的大白陶罐；右图为</w:t>
      </w:r>
      <w:r>
        <w:rPr>
          <w:sz w:val="21"/>
          <w:szCs w:val="21"/>
        </w:rPr>
        <w:t>19</w:t>
      </w:r>
      <w:r>
        <w:rPr>
          <w:rFonts w:ascii="宋体" w:hAnsi="宋体" w:eastAsia="宋体" w:cs="宋体"/>
          <w:sz w:val="21"/>
          <w:szCs w:val="21"/>
        </w:rPr>
        <w:t>世纪北美印第安人达科他族首领水牛皮袍上的一份年表的片段。据此可知（</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33" name="图片 100033"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1"/>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6994AAE7">
      <w:pPr>
        <w:sectPr>
          <w:headerReference r:id="rId3" w:type="default"/>
          <w:type w:val="continuous"/>
          <w:pgSz w:w="11927" w:h="16875"/>
          <w:pgMar w:top="800" w:right="1120" w:bottom="540" w:left="1120" w:header="708" w:footer="708" w:gutter="0"/>
          <w:cols w:space="708" w:num="1"/>
          <w:docGrid w:linePitch="360" w:charSpace="0"/>
        </w:sectPr>
      </w:pPr>
    </w:p>
    <w:tbl>
      <w:tblPr>
        <w:tblStyle w:val="4"/>
        <w:tblW w:w="624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550"/>
        <w:gridCol w:w="3690"/>
      </w:tblGrid>
      <w:tr w14:paraId="3E52743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2550" w:type="dxa"/>
            <w:tcBorders>
              <w:right w:val="single" w:color="000000" w:sz="6" w:space="0"/>
            </w:tcBorders>
            <w:noWrap w:val="0"/>
            <w:tcMar>
              <w:top w:w="76" w:type="dxa"/>
              <w:left w:w="120" w:type="dxa"/>
              <w:bottom w:w="76" w:type="dxa"/>
              <w:right w:w="120" w:type="dxa"/>
            </w:tcMar>
            <w:vAlign w:val="center"/>
          </w:tcPr>
          <w:p w14:paraId="1FC5A82F">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095375" cy="1485900"/>
                  <wp:effectExtent l="0" t="0" r="9525"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095375" cy="1485900"/>
                          </a:xfrm>
                          <a:prstGeom prst="rect">
                            <a:avLst/>
                          </a:prstGeom>
                        </pic:spPr>
                      </pic:pic>
                    </a:graphicData>
                  </a:graphic>
                </wp:inline>
              </w:drawing>
            </w:r>
          </w:p>
          <w:p w14:paraId="09CCE146">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陶罐上的短语“对抗并彻底击败北方之年”为国王奉献陶罐那一年的名称。</w:t>
            </w:r>
          </w:p>
        </w:tc>
        <w:tc>
          <w:tcPr>
            <w:tcW w:w="3690" w:type="dxa"/>
            <w:tcBorders>
              <w:left w:val="single" w:color="000000" w:sz="6" w:space="0"/>
            </w:tcBorders>
            <w:noWrap w:val="0"/>
            <w:tcMar>
              <w:top w:w="76" w:type="dxa"/>
              <w:left w:w="120" w:type="dxa"/>
              <w:bottom w:w="76" w:type="dxa"/>
              <w:right w:w="120" w:type="dxa"/>
            </w:tcMar>
            <w:vAlign w:val="center"/>
          </w:tcPr>
          <w:p w14:paraId="49F61FE8">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438275" cy="1047750"/>
                  <wp:effectExtent l="0" t="0" r="9525" b="0"/>
                  <wp:docPr id="100049" name="图片 100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438275" cy="1047750"/>
                          </a:xfrm>
                          <a:prstGeom prst="rect">
                            <a:avLst/>
                          </a:prstGeom>
                        </pic:spPr>
                      </pic:pic>
                    </a:graphicData>
                  </a:graphic>
                </wp:inline>
              </w:drawing>
            </w:r>
          </w:p>
          <w:p w14:paraId="5CCC167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w:t>
            </w:r>
            <w:r>
              <w:rPr>
                <w:rFonts w:ascii="宋体" w:hAnsi="宋体" w:eastAsia="宋体" w:cs="宋体"/>
                <w:b w:val="0"/>
                <w:bCs w:val="0"/>
                <w:i w:val="0"/>
                <w:iCs w:val="0"/>
                <w:smallCaps w:val="0"/>
                <w:color w:val="000000"/>
                <w:sz w:val="21"/>
                <w:szCs w:val="21"/>
              </w:rPr>
              <w:t>“哮喘咳嗽年”，因这年哮喘病大流行而命名。</w:t>
            </w:r>
          </w:p>
          <w:p w14:paraId="1A9B1E6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w:t>
            </w:r>
            <w:r>
              <w:rPr>
                <w:rFonts w:ascii="宋体" w:hAnsi="宋体" w:eastAsia="宋体" w:cs="宋体"/>
                <w:b w:val="0"/>
                <w:bCs w:val="0"/>
                <w:i w:val="0"/>
                <w:iCs w:val="0"/>
                <w:smallCaps w:val="0"/>
                <w:color w:val="000000"/>
                <w:sz w:val="21"/>
                <w:szCs w:val="21"/>
              </w:rPr>
              <w:t>“流星年”，因这年有很多流星出现而命名。</w:t>
            </w:r>
          </w:p>
          <w:p w14:paraId="11DCD385">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“和平年”，因这年两个部族达成和平协议而命名。</w:t>
            </w:r>
          </w:p>
        </w:tc>
      </w:tr>
    </w:tbl>
    <w:p w14:paraId="0C483943">
      <w:pPr>
        <w:widowControl w:val="0"/>
        <w:spacing w:before="0" w:after="0" w:line="360" w:lineRule="auto"/>
        <w:rPr>
          <w:sz w:val="21"/>
          <w:szCs w:val="21"/>
        </w:rPr>
      </w:pPr>
    </w:p>
    <w:p w14:paraId="64C180B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文明交流推动社会进步</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采用事件纪年具有普遍性</w:t>
      </w:r>
    </w:p>
    <w:p w14:paraId="2BDD14D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人类社会经历了相同的发展阶段</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年名研究是了解历史的一种途径</w:t>
      </w:r>
    </w:p>
    <w:p w14:paraId="6ED3CAE5">
      <w:pPr>
        <w:widowControl w:val="0"/>
        <w:spacing w:before="0" w:after="0" w:line="360" w:lineRule="auto"/>
        <w:rPr>
          <w:sz w:val="21"/>
          <w:szCs w:val="21"/>
        </w:rPr>
      </w:pPr>
      <w:r>
        <w:rPr>
          <w:sz w:val="21"/>
          <w:szCs w:val="21"/>
        </w:rPr>
        <w:t>11. 13</w:t>
      </w:r>
      <w:r>
        <w:rPr>
          <w:rFonts w:ascii="宋体" w:hAnsi="宋体" w:eastAsia="宋体" w:cs="宋体"/>
          <w:sz w:val="21"/>
          <w:szCs w:val="21"/>
        </w:rPr>
        <w:t>世纪以前，西欧的行会具有明显的开放性，学徒、帮工不论家庭出身，只要合乎资格就可以成为行会成员；</w:t>
      </w:r>
      <w:r>
        <w:rPr>
          <w:sz w:val="21"/>
          <w:szCs w:val="21"/>
        </w:rPr>
        <w:t>13</w:t>
      </w:r>
      <w:r>
        <w:rPr>
          <w:rFonts w:ascii="宋体" w:hAnsi="宋体" w:eastAsia="宋体" w:cs="宋体"/>
          <w:sz w:val="21"/>
          <w:szCs w:val="21"/>
        </w:rPr>
        <w:t>世纪以后，掌握着资本和生产的富人阶层控制了行会，出身贫寒的学徒、帮工面临着更高的入会门槛，行会成员逐渐成为世袭身份。这反映出（</w:t>
      </w:r>
      <w:r>
        <w:rPr>
          <w:sz w:val="21"/>
          <w:szCs w:val="21"/>
        </w:rPr>
        <w:t xml:space="preserve">    </w:t>
      </w:r>
      <w:r>
        <w:rPr>
          <w:rFonts w:ascii="宋体" w:hAnsi="宋体" w:eastAsia="宋体" w:cs="宋体"/>
          <w:sz w:val="21"/>
          <w:szCs w:val="21"/>
        </w:rPr>
        <w:t>）</w:t>
      </w:r>
    </w:p>
    <w:p w14:paraId="5B59D5C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技术革新速度加快</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市场竞争日益加剧</w:t>
      </w:r>
    </w:p>
    <w:p w14:paraId="158B4E4A">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城市管理体制逐步完善</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王权对城市的控制加强</w:t>
      </w:r>
    </w:p>
    <w:p w14:paraId="141ECAB3">
      <w:pPr>
        <w:widowControl w:val="0"/>
        <w:spacing w:before="0" w:after="0" w:line="360" w:lineRule="auto"/>
        <w:rPr>
          <w:sz w:val="21"/>
          <w:szCs w:val="21"/>
        </w:rPr>
      </w:pPr>
      <w:r>
        <w:rPr>
          <w:sz w:val="21"/>
          <w:szCs w:val="21"/>
        </w:rPr>
        <w:t xml:space="preserve">12. </w:t>
      </w:r>
      <w:r>
        <w:rPr>
          <w:rFonts w:ascii="宋体" w:hAnsi="宋体" w:eastAsia="宋体" w:cs="宋体"/>
          <w:sz w:val="21"/>
          <w:szCs w:val="21"/>
        </w:rPr>
        <w:t>在某些意义上，空想社会主义者是启蒙思想家的继承者，因为他们都相信犯罪和贪婪是罪恶环境的产物，也相信社会将趋于完美。但相比之下，空想社会主义者更为“激进”，这是因为他们把关注的重心转向了（</w:t>
      </w:r>
      <w:r>
        <w:rPr>
          <w:sz w:val="21"/>
          <w:szCs w:val="21"/>
        </w:rPr>
        <w:t xml:space="preserve">    </w:t>
      </w:r>
      <w:r>
        <w:rPr>
          <w:rFonts w:ascii="宋体" w:hAnsi="宋体" w:eastAsia="宋体" w:cs="宋体"/>
          <w:sz w:val="21"/>
          <w:szCs w:val="21"/>
        </w:rPr>
        <w:t>）</w:t>
      </w:r>
    </w:p>
    <w:p w14:paraId="6BF2F78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经济规律</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理想社会</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社会正义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阶级斗争</w:t>
      </w:r>
    </w:p>
    <w:p w14:paraId="0715784A">
      <w:pPr>
        <w:widowControl w:val="0"/>
        <w:spacing w:before="0" w:after="0" w:line="360" w:lineRule="auto"/>
        <w:rPr>
          <w:sz w:val="21"/>
          <w:szCs w:val="21"/>
        </w:rPr>
      </w:pPr>
      <w:r>
        <w:rPr>
          <w:sz w:val="21"/>
          <w:szCs w:val="21"/>
        </w:rPr>
        <w:t xml:space="preserve">13. </w:t>
      </w:r>
      <w:r>
        <w:rPr>
          <w:rFonts w:ascii="宋体" w:hAnsi="宋体" w:eastAsia="宋体" w:cs="宋体"/>
          <w:sz w:val="21"/>
          <w:szCs w:val="21"/>
        </w:rPr>
        <w:t>下图为</w:t>
      </w:r>
      <w:r>
        <w:rPr>
          <w:sz w:val="21"/>
          <w:szCs w:val="21"/>
        </w:rPr>
        <w:t>1918</w:t>
      </w:r>
      <w:r>
        <w:rPr>
          <w:rFonts w:ascii="宋体" w:hAnsi="宋体" w:eastAsia="宋体" w:cs="宋体"/>
          <w:sz w:val="21"/>
          <w:szCs w:val="21"/>
        </w:rPr>
        <w:t>年</w:t>
      </w:r>
      <w:r>
        <w:rPr>
          <w:sz w:val="21"/>
          <w:szCs w:val="21"/>
        </w:rPr>
        <w:t>10</w:t>
      </w:r>
      <w:r>
        <w:rPr>
          <w:rFonts w:ascii="宋体" w:hAnsi="宋体" w:eastAsia="宋体" w:cs="宋体"/>
          <w:sz w:val="21"/>
          <w:szCs w:val="21"/>
        </w:rPr>
        <w:t>月</w:t>
      </w:r>
      <w:r>
        <w:rPr>
          <w:sz w:val="21"/>
          <w:szCs w:val="21"/>
        </w:rPr>
        <w:t>23</w:t>
      </w:r>
      <w:r>
        <w:rPr>
          <w:rFonts w:ascii="宋体" w:hAnsi="宋体" w:eastAsia="宋体" w:cs="宋体"/>
          <w:sz w:val="21"/>
          <w:szCs w:val="21"/>
        </w:rPr>
        <w:t>日英国《笨拙》杂志刊登的一幅漫画《大兵与文官》。该漫画揭示出（</w:t>
      </w:r>
      <w:r>
        <w:rPr>
          <w:sz w:val="21"/>
          <w:szCs w:val="21"/>
        </w:rPr>
        <w:t xml:space="preserve">    </w:t>
      </w:r>
      <w:r>
        <w:rPr>
          <w:rFonts w:ascii="宋体" w:hAnsi="宋体" w:eastAsia="宋体" w:cs="宋体"/>
          <w:sz w:val="21"/>
          <w:szCs w:val="21"/>
        </w:rPr>
        <w:t>）</w:t>
      </w:r>
    </w:p>
    <w:tbl>
      <w:tblPr>
        <w:tblStyle w:val="4"/>
        <w:tblW w:w="552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5520"/>
      </w:tblGrid>
      <w:tr w14:paraId="129A5D7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520" w:type="dxa"/>
            <w:noWrap w:val="0"/>
            <w:tcMar>
              <w:top w:w="76" w:type="dxa"/>
              <w:left w:w="120" w:type="dxa"/>
              <w:bottom w:w="76" w:type="dxa"/>
              <w:right w:w="120" w:type="dxa"/>
            </w:tcMar>
            <w:vAlign w:val="center"/>
          </w:tcPr>
          <w:p w14:paraId="6AE55080">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962025" cy="1381125"/>
                  <wp:effectExtent l="0" t="0" r="9525" b="9525"/>
                  <wp:docPr id="100051" name="图片 100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962025" cy="1381125"/>
                          </a:xfrm>
                          <a:prstGeom prst="rect">
                            <a:avLst/>
                          </a:prstGeom>
                        </pic:spPr>
                      </pic:pic>
                    </a:graphicData>
                  </a:graphic>
                </wp:inline>
              </w:drawing>
            </w:r>
          </w:p>
          <w:p w14:paraId="1837DAB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协约国军队总指挥福煦对法国总理克里孟梭、美国总统威尔逊和英国首相劳合·乔治说：先生们、如果你们要走这条路，小心踩雷！</w:t>
            </w:r>
          </w:p>
        </w:tc>
      </w:tr>
    </w:tbl>
    <w:p w14:paraId="6C9BC43D">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53" name="图片 100053"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page number 2"/>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5CC25015">
      <w:pPr>
        <w:sectPr>
          <w:headerReference r:id="rId4" w:type="default"/>
          <w:type w:val="continuous"/>
          <w:pgSz w:w="11927" w:h="16875"/>
          <w:pgMar w:top="800" w:right="1120" w:bottom="540" w:left="1120" w:header="708" w:footer="708" w:gutter="0"/>
          <w:cols w:space="708" w:num="1"/>
          <w:docGrid w:linePitch="360" w:charSpace="0"/>
        </w:sectPr>
      </w:pPr>
    </w:p>
    <w:p w14:paraId="73D8CA71">
      <w:pPr>
        <w:widowControl w:val="0"/>
        <w:spacing w:before="0" w:after="0" w:line="360" w:lineRule="auto"/>
        <w:rPr>
          <w:sz w:val="21"/>
          <w:szCs w:val="21"/>
        </w:rPr>
      </w:pPr>
    </w:p>
    <w:p w14:paraId="3627D3C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英国对德国的强烈担忧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第一次世界大战的非正义性</w:t>
      </w:r>
    </w:p>
    <w:p w14:paraId="57AA892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战后国际关系体系的脆弱</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英、法、美利益诉求的一致性</w:t>
      </w:r>
    </w:p>
    <w:p w14:paraId="7D58ADAD">
      <w:pPr>
        <w:widowControl w:val="0"/>
        <w:spacing w:before="0" w:after="0" w:line="360" w:lineRule="auto"/>
        <w:rPr>
          <w:sz w:val="21"/>
          <w:szCs w:val="21"/>
        </w:rPr>
      </w:pPr>
      <w:r>
        <w:rPr>
          <w:sz w:val="21"/>
          <w:szCs w:val="21"/>
        </w:rPr>
        <w:t xml:space="preserve">14. </w:t>
      </w:r>
      <w:r>
        <w:rPr>
          <w:rFonts w:ascii="宋体" w:hAnsi="宋体" w:eastAsia="宋体" w:cs="宋体"/>
          <w:sz w:val="21"/>
          <w:szCs w:val="21"/>
        </w:rPr>
        <w:t>下表为</w:t>
      </w:r>
      <w:r>
        <w:rPr>
          <w:sz w:val="21"/>
          <w:szCs w:val="21"/>
        </w:rPr>
        <w:t>1935</w:t>
      </w:r>
      <w:r>
        <w:rPr>
          <w:rFonts w:ascii="宋体" w:hAnsi="宋体" w:eastAsia="宋体" w:cs="宋体"/>
          <w:sz w:val="21"/>
          <w:szCs w:val="21"/>
        </w:rPr>
        <w:t>—</w:t>
      </w:r>
      <w:r>
        <w:rPr>
          <w:sz w:val="21"/>
          <w:szCs w:val="21"/>
        </w:rPr>
        <w:t>1950</w:t>
      </w:r>
      <w:r>
        <w:rPr>
          <w:rFonts w:ascii="宋体" w:hAnsi="宋体" w:eastAsia="宋体" w:cs="宋体"/>
          <w:sz w:val="21"/>
          <w:szCs w:val="21"/>
        </w:rPr>
        <w:t>年美国对外投资中私人投资和政府投资情况统计（单位：亿美元）。这两种投资的结构性变化反映了美国（</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1080"/>
        <w:gridCol w:w="1080"/>
      </w:tblGrid>
      <w:tr w14:paraId="4AAA774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33936A8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类型</w:t>
            </w:r>
          </w:p>
          <w:p w14:paraId="57A72CFC">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年份</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2BB955F">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私人投资</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0CEE3879">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政府投资</w:t>
            </w:r>
          </w:p>
        </w:tc>
      </w:tr>
      <w:tr w14:paraId="185203E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FE82D8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1935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1676F3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135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31DB55D">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101</w:t>
            </w:r>
          </w:p>
        </w:tc>
      </w:tr>
      <w:tr w14:paraId="3B1FC3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895898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1940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22F35A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122</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86C52C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221</w:t>
            </w:r>
          </w:p>
        </w:tc>
      </w:tr>
      <w:tr w14:paraId="3C16F9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28D92B9">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1945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C703EF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147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E7746DC">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222</w:t>
            </w:r>
          </w:p>
        </w:tc>
      </w:tr>
      <w:tr w14:paraId="3F3D31A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76D5D3A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1950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B3332B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190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278DF163">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354</w:t>
            </w:r>
          </w:p>
        </w:tc>
      </w:tr>
    </w:tbl>
    <w:p w14:paraId="60BC5CA8">
      <w:pPr>
        <w:widowControl w:val="0"/>
        <w:spacing w:before="0" w:after="0" w:line="360" w:lineRule="auto"/>
        <w:rPr>
          <w:sz w:val="21"/>
          <w:szCs w:val="21"/>
        </w:rPr>
      </w:pPr>
    </w:p>
    <w:p w14:paraId="6157103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恢复经济发展的努力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放松了对拉美的控制</w:t>
      </w:r>
    </w:p>
    <w:p w14:paraId="6F252FE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跨国公司的迅速发展</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国家安全战略的调整</w:t>
      </w:r>
    </w:p>
    <w:p w14:paraId="013173FF">
      <w:pPr>
        <w:widowControl w:val="0"/>
        <w:spacing w:before="0" w:after="0" w:line="360" w:lineRule="auto"/>
        <w:rPr>
          <w:sz w:val="21"/>
          <w:szCs w:val="21"/>
        </w:rPr>
      </w:pPr>
      <w:r>
        <w:rPr>
          <w:sz w:val="21"/>
          <w:szCs w:val="21"/>
        </w:rPr>
        <w:t xml:space="preserve">15. </w:t>
      </w:r>
      <w:r>
        <w:rPr>
          <w:rFonts w:ascii="宋体" w:hAnsi="宋体" w:eastAsia="宋体" w:cs="宋体"/>
          <w:sz w:val="21"/>
          <w:szCs w:val="21"/>
        </w:rPr>
        <w:t>下图为</w:t>
      </w:r>
      <w:r>
        <w:rPr>
          <w:sz w:val="21"/>
          <w:szCs w:val="21"/>
        </w:rPr>
        <w:t>20</w:t>
      </w:r>
      <w:r>
        <w:rPr>
          <w:rFonts w:ascii="宋体" w:hAnsi="宋体" w:eastAsia="宋体" w:cs="宋体"/>
          <w:sz w:val="21"/>
          <w:szCs w:val="21"/>
        </w:rPr>
        <w:t>世纪</w:t>
      </w:r>
      <w:r>
        <w:rPr>
          <w:sz w:val="21"/>
          <w:szCs w:val="21"/>
        </w:rPr>
        <w:t>50</w:t>
      </w:r>
      <w:r>
        <w:rPr>
          <w:rFonts w:ascii="宋体" w:hAnsi="宋体" w:eastAsia="宋体" w:cs="宋体"/>
          <w:sz w:val="21"/>
          <w:szCs w:val="21"/>
        </w:rPr>
        <w:t>年代后期和</w:t>
      </w:r>
      <w:r>
        <w:rPr>
          <w:sz w:val="21"/>
          <w:szCs w:val="21"/>
        </w:rPr>
        <w:t>80</w:t>
      </w:r>
      <w:r>
        <w:rPr>
          <w:rFonts w:ascii="宋体" w:hAnsi="宋体" w:eastAsia="宋体" w:cs="宋体"/>
          <w:sz w:val="21"/>
          <w:szCs w:val="21"/>
        </w:rPr>
        <w:t>年代前期英国四类商品进口额在进口总值中的占比示意图。导致占比变化的主要原因是（</w:t>
      </w:r>
      <w:r>
        <w:rPr>
          <w:sz w:val="21"/>
          <w:szCs w:val="21"/>
        </w:rPr>
        <w:t xml:space="preserve">    </w:t>
      </w:r>
      <w:r>
        <w:rPr>
          <w:rFonts w:ascii="宋体" w:hAnsi="宋体" w:eastAsia="宋体" w:cs="宋体"/>
          <w:sz w:val="21"/>
          <w:szCs w:val="21"/>
        </w:rPr>
        <w:t>）</w:t>
      </w:r>
    </w:p>
    <w:p w14:paraId="2ECDD8B0">
      <w:pPr>
        <w:widowControl w:val="0"/>
        <w:spacing w:before="0" w:after="0" w:line="360" w:lineRule="auto"/>
        <w:rPr>
          <w:sz w:val="21"/>
          <w:szCs w:val="21"/>
        </w:rPr>
      </w:pPr>
      <w:r>
        <w:rPr>
          <w:strike w:val="0"/>
          <w:sz w:val="21"/>
          <w:szCs w:val="21"/>
          <w:u w:val="none"/>
        </w:rPr>
        <w:drawing>
          <wp:inline distT="0" distB="0" distL="114300" distR="114300">
            <wp:extent cx="3409950" cy="1390650"/>
            <wp:effectExtent l="0" t="0" r="0" b="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409950" cy="1390650"/>
                    </a:xfrm>
                    <a:prstGeom prst="rect">
                      <a:avLst/>
                    </a:prstGeom>
                  </pic:spPr>
                </pic:pic>
              </a:graphicData>
            </a:graphic>
          </wp:inline>
        </w:drawing>
      </w:r>
    </w:p>
    <w:p w14:paraId="5FEA645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英国经济竞争力下降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环境保护主义的兴起</w:t>
      </w:r>
    </w:p>
    <w:p w14:paraId="5AD940ED">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欧洲产业结构的调整</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经济全球化进程加快</w:t>
      </w:r>
    </w:p>
    <w:p w14:paraId="5C319575">
      <w:pPr>
        <w:widowControl w:val="0"/>
        <w:spacing w:before="0" w:after="0" w:line="286" w:lineRule="auto"/>
      </w:pPr>
      <w:r>
        <w:rPr>
          <w:rFonts w:ascii="宋体" w:hAnsi="宋体" w:eastAsia="宋体" w:cs="宋体"/>
          <w:b/>
          <w:bCs/>
        </w:rPr>
        <w:t>二、非选择题：本题共</w:t>
      </w:r>
      <w:r>
        <w:rPr>
          <w:b/>
          <w:bCs/>
        </w:rPr>
        <w:t>4</w:t>
      </w:r>
      <w:r>
        <w:rPr>
          <w:rFonts w:ascii="宋体" w:hAnsi="宋体" w:eastAsia="宋体" w:cs="宋体"/>
          <w:b/>
          <w:bCs/>
        </w:rPr>
        <w:t>小题，共</w:t>
      </w:r>
      <w:r>
        <w:rPr>
          <w:b/>
          <w:bCs/>
        </w:rPr>
        <w:t>55</w:t>
      </w:r>
      <w:r>
        <w:rPr>
          <w:rFonts w:ascii="宋体" w:hAnsi="宋体" w:eastAsia="宋体" w:cs="宋体"/>
          <w:b/>
          <w:bCs/>
        </w:rPr>
        <w:t>分。</w:t>
      </w:r>
    </w:p>
    <w:p w14:paraId="5F18F416">
      <w:pPr>
        <w:widowControl w:val="0"/>
        <w:spacing w:before="0" w:after="0" w:line="360" w:lineRule="auto"/>
        <w:rPr>
          <w:sz w:val="21"/>
          <w:szCs w:val="21"/>
        </w:rPr>
      </w:pPr>
      <w:r>
        <w:rPr>
          <w:sz w:val="21"/>
          <w:szCs w:val="21"/>
        </w:rPr>
        <w:t xml:space="preserve">16. </w:t>
      </w:r>
      <w:r>
        <w:rPr>
          <w:rFonts w:ascii="宋体" w:hAnsi="宋体" w:eastAsia="宋体" w:cs="宋体"/>
          <w:sz w:val="21"/>
          <w:szCs w:val="21"/>
        </w:rPr>
        <w:t>阅读材料，回答问题。</w:t>
      </w:r>
    </w:p>
    <w:p w14:paraId="4CC3E6AD">
      <w:pPr>
        <w:widowControl w:val="0"/>
        <w:spacing w:before="0" w:after="0" w:line="360" w:lineRule="auto"/>
        <w:jc w:val="center"/>
        <w:rPr>
          <w:sz w:val="21"/>
          <w:szCs w:val="21"/>
        </w:rPr>
      </w:pPr>
      <w:r>
        <w:rPr>
          <w:rFonts w:ascii="楷体" w:hAnsi="楷体" w:eastAsia="楷体" w:cs="楷体"/>
          <w:sz w:val="21"/>
          <w:szCs w:val="21"/>
        </w:rPr>
        <w:t>“江南经济区”的</w:t>
      </w:r>
      <w:r>
        <w:rPr>
          <w:strike w:val="0"/>
          <w:sz w:val="21"/>
          <w:szCs w:val="21"/>
          <w:u w:val="none"/>
        </w:rPr>
        <w:drawing>
          <wp:inline distT="0" distB="0" distL="114300" distR="114300">
            <wp:extent cx="28575" cy="28575"/>
            <wp:effectExtent l="0" t="0" r="0" b="0"/>
            <wp:docPr id="100069" name="图片 100069"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page number 3"/>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1BB862BB">
      <w:pPr>
        <w:sectPr>
          <w:headerReference r:id="rId5" w:type="default"/>
          <w:type w:val="continuous"/>
          <w:pgSz w:w="11927" w:h="16875"/>
          <w:pgMar w:top="800" w:right="1120" w:bottom="540" w:left="1120" w:header="708" w:footer="708" w:gutter="0"/>
          <w:cols w:space="708" w:num="1"/>
          <w:docGrid w:linePitch="360" w:charSpace="0"/>
        </w:sectPr>
      </w:pPr>
    </w:p>
    <w:p w14:paraId="7BC3972F">
      <w:pPr>
        <w:widowControl w:val="0"/>
        <w:spacing w:before="0" w:after="0" w:line="360" w:lineRule="auto"/>
        <w:rPr>
          <w:sz w:val="21"/>
          <w:szCs w:val="21"/>
        </w:rPr>
      </w:pPr>
      <w:r>
        <w:rPr>
          <w:strike w:val="0"/>
          <w:sz w:val="21"/>
          <w:szCs w:val="21"/>
          <w:u w:val="none"/>
        </w:rPr>
        <w:drawing>
          <wp:inline distT="0" distB="0" distL="114300" distR="114300">
            <wp:extent cx="5191125" cy="2200275"/>
            <wp:effectExtent l="0" t="0" r="9525" b="9525"/>
            <wp:docPr id="100083" name="图片 100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5191125" cy="2200275"/>
                    </a:xfrm>
                    <a:prstGeom prst="rect">
                      <a:avLst/>
                    </a:prstGeom>
                  </pic:spPr>
                </pic:pic>
              </a:graphicData>
            </a:graphic>
          </wp:inline>
        </w:drawing>
      </w:r>
    </w:p>
    <w:p w14:paraId="018D2CE2">
      <w:pPr>
        <w:widowControl w:val="0"/>
        <w:spacing w:before="0" w:after="0" w:line="360" w:lineRule="auto"/>
        <w:jc w:val="right"/>
        <w:rPr>
          <w:sz w:val="21"/>
          <w:szCs w:val="21"/>
        </w:rPr>
      </w:pPr>
      <w:r>
        <w:rPr>
          <w:rFonts w:ascii="楷体" w:hAnsi="楷体" w:eastAsia="楷体" w:cs="楷体"/>
          <w:sz w:val="21"/>
          <w:szCs w:val="21"/>
        </w:rPr>
        <w:t>——据贺业钜《中国古代城市规划史》</w:t>
      </w:r>
    </w:p>
    <w:p w14:paraId="131CADD6">
      <w:pPr>
        <w:widowControl w:val="0"/>
        <w:spacing w:before="0" w:after="0" w:line="360" w:lineRule="auto"/>
        <w:rPr>
          <w:sz w:val="21"/>
          <w:szCs w:val="21"/>
        </w:rPr>
      </w:pPr>
      <w:r>
        <w:rPr>
          <w:rFonts w:ascii="宋体" w:hAnsi="宋体" w:eastAsia="宋体" w:cs="宋体"/>
          <w:sz w:val="21"/>
          <w:szCs w:val="21"/>
        </w:rPr>
        <w:t>概括说明“江南经济区”的变化体现了汉唐时期怎样的经济发展趋势。</w:t>
      </w:r>
    </w:p>
    <w:p w14:paraId="27D4193C">
      <w:pPr>
        <w:widowControl w:val="0"/>
        <w:spacing w:before="0" w:after="0" w:line="360" w:lineRule="auto"/>
        <w:rPr>
          <w:sz w:val="21"/>
          <w:szCs w:val="21"/>
        </w:rPr>
      </w:pPr>
      <w:r>
        <w:rPr>
          <w:sz w:val="21"/>
          <w:szCs w:val="21"/>
        </w:rPr>
        <w:t xml:space="preserve">17. </w:t>
      </w:r>
      <w:r>
        <w:rPr>
          <w:rFonts w:ascii="宋体" w:hAnsi="宋体" w:eastAsia="宋体" w:cs="宋体"/>
          <w:sz w:val="21"/>
          <w:szCs w:val="21"/>
        </w:rPr>
        <w:t>阅读材料，回答问题。</w:t>
      </w:r>
    </w:p>
    <w:p w14:paraId="045740A8">
      <w:pPr>
        <w:widowControl w:val="0"/>
        <w:spacing w:before="0" w:after="0" w:line="360" w:lineRule="auto"/>
        <w:ind w:firstLine="420"/>
        <w:jc w:val="center"/>
        <w:rPr>
          <w:sz w:val="21"/>
          <w:szCs w:val="21"/>
        </w:rPr>
      </w:pPr>
      <w:r>
        <w:rPr>
          <w:rFonts w:ascii="楷体" w:hAnsi="楷体" w:eastAsia="楷体" w:cs="楷体"/>
          <w:sz w:val="21"/>
          <w:szCs w:val="21"/>
        </w:rPr>
        <w:t>“鸦片战争”的时空之维</w:t>
      </w:r>
    </w:p>
    <w:p w14:paraId="70CE36B4">
      <w:pPr>
        <w:widowControl w:val="0"/>
        <w:spacing w:before="0" w:after="0" w:line="360" w:lineRule="auto"/>
        <w:ind w:firstLine="420"/>
        <w:rPr>
          <w:sz w:val="21"/>
          <w:szCs w:val="21"/>
        </w:rPr>
      </w:pPr>
      <w:r>
        <w:rPr>
          <w:rFonts w:ascii="楷体" w:hAnsi="楷体" w:eastAsia="楷体" w:cs="楷体"/>
          <w:sz w:val="21"/>
          <w:szCs w:val="21"/>
        </w:rPr>
        <w:t>材料一  图为1936年《儿童杂志》刊载的《谈谈鸦片战争》的会话摘编。</w:t>
      </w:r>
    </w:p>
    <w:tbl>
      <w:tblPr>
        <w:tblStyle w:val="4"/>
        <w:tblW w:w="822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8220"/>
      </w:tblGrid>
      <w:tr w14:paraId="53C2BF8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8220" w:type="dxa"/>
            <w:noWrap w:val="0"/>
            <w:tcMar>
              <w:top w:w="76" w:type="dxa"/>
              <w:left w:w="120" w:type="dxa"/>
              <w:bottom w:w="76" w:type="dxa"/>
              <w:right w:w="120" w:type="dxa"/>
            </w:tcMar>
            <w:vAlign w:val="center"/>
          </w:tcPr>
          <w:p w14:paraId="5E8625B0">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（大聪——哥哥，省立中学学生）</w:t>
            </w:r>
          </w:p>
          <w:p w14:paraId="0AA4457A">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（小敏——弟弟，育才小学学生）</w:t>
            </w:r>
          </w:p>
          <w:p w14:paraId="338949F3">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小敏：哥哥，我要问“鸦片战争”是怎样一回事?</w:t>
            </w:r>
          </w:p>
          <w:p w14:paraId="40B624EE">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大聪：清朝的时候，鸦片运来得越来越多，现银流出也就跟着多了，好几个皇帝都下过禁烟的命令。</w:t>
            </w:r>
          </w:p>
          <w:p w14:paraId="06EFA9D9">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小敏：那么，怎么会同英国人打起来的呢?</w:t>
            </w:r>
          </w:p>
          <w:p w14:paraId="3028D425">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大聪：皇帝叫林则徐到广东查禁鸦片，但英国商人不服从禁烟命令，不怪自己不好，反去求印度总督来救援。</w:t>
            </w:r>
          </w:p>
          <w:p w14:paraId="5CA2CC04">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小敏：林则徐就吃了败仗?</w:t>
            </w:r>
          </w:p>
          <w:p w14:paraId="6439E9D9">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大聪：不!打了胜仗，可后来英兵攻打浙江，破定海，封镇宁波，进逼天津，清朝皇帝不中用，怪林则徐闹出乱子来，把他革职，叫琦善去和英人议和。琦善这个人不会办事，英兵就再打进吴淞，进逼南京。清朝皇帝就和他们订立了一个丧权辱国的《南京条约》。</w:t>
            </w:r>
          </w:p>
          <w:p w14:paraId="3EFDFB2A">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小敏：……</w:t>
            </w:r>
          </w:p>
        </w:tc>
      </w:tr>
    </w:tbl>
    <w:p w14:paraId="475E4ACC">
      <w:pPr>
        <w:widowControl w:val="0"/>
        <w:spacing w:before="0" w:after="0" w:line="360" w:lineRule="auto"/>
        <w:ind w:firstLine="420"/>
        <w:rPr>
          <w:sz w:val="21"/>
          <w:szCs w:val="21"/>
        </w:rPr>
      </w:pPr>
      <w:r>
        <w:rPr>
          <w:rFonts w:ascii="楷体" w:hAnsi="楷体" w:eastAsia="楷体" w:cs="楷体"/>
          <w:sz w:val="21"/>
          <w:szCs w:val="21"/>
        </w:rPr>
        <w:t>材料二  研究中国近代史有两个基本点：一是以“近代性”（科学与民主）区分近代史与晚清史；二是把中国近代史当作世界史，这两个点是我们看历史的“眼睛”，它是立体的、全方位的“眼睛”。</w:t>
      </w:r>
    </w:p>
    <w:p w14:paraId="457147A2">
      <w:pPr>
        <w:widowControl w:val="0"/>
        <w:spacing w:before="0" w:after="0" w:line="360" w:lineRule="auto"/>
        <w:ind w:firstLine="420"/>
        <w:jc w:val="right"/>
        <w:rPr>
          <w:sz w:val="21"/>
          <w:szCs w:val="21"/>
        </w:rPr>
      </w:pPr>
      <w:r>
        <w:rPr>
          <w:rFonts w:ascii="楷体" w:hAnsi="楷体" w:eastAsia="楷体" w:cs="楷体"/>
          <w:sz w:val="21"/>
          <w:szCs w:val="21"/>
        </w:rPr>
        <w:t>——摘编自刘泽华主编《中国政治思想通史》</w:t>
      </w:r>
    </w:p>
    <w:p w14:paraId="65C4DFA6">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）大聪的讲述，会让小敏对“鸦片战争”形成怎样的认识</w:t>
      </w:r>
      <w:r>
        <w:rPr>
          <w:sz w:val="21"/>
          <w:szCs w:val="21"/>
        </w:rPr>
        <w:t>?</w:t>
      </w:r>
    </w:p>
    <w:p w14:paraId="0679BB5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）你认为应如何书写“鸦片战争”</w:t>
      </w:r>
      <w:r>
        <w:rPr>
          <w:sz w:val="21"/>
          <w:szCs w:val="21"/>
        </w:rPr>
        <w:t>?</w:t>
      </w:r>
      <w:r>
        <w:rPr>
          <w:rFonts w:ascii="宋体" w:hAnsi="宋体" w:eastAsia="宋体" w:cs="宋体"/>
          <w:sz w:val="21"/>
          <w:szCs w:val="21"/>
        </w:rPr>
        <w:t>说明理由。</w:t>
      </w:r>
      <w:r>
        <w:rPr>
          <w:strike w:val="0"/>
          <w:sz w:val="21"/>
          <w:szCs w:val="21"/>
          <w:u w:val="none"/>
        </w:rPr>
        <w:drawing>
          <wp:inline distT="0" distB="0" distL="114300" distR="114300">
            <wp:extent cx="28575" cy="28575"/>
            <wp:effectExtent l="0" t="0" r="0" b="0"/>
            <wp:docPr id="100085" name="图片 100085"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page number 4"/>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39C36F3E">
      <w:pPr>
        <w:sectPr>
          <w:headerReference r:id="rId6" w:type="default"/>
          <w:type w:val="continuous"/>
          <w:pgSz w:w="11927" w:h="16875"/>
          <w:pgMar w:top="800" w:right="1120" w:bottom="540" w:left="1120" w:header="708" w:footer="708" w:gutter="0"/>
          <w:cols w:space="708" w:num="1"/>
          <w:docGrid w:linePitch="360" w:charSpace="0"/>
        </w:sectPr>
      </w:pPr>
    </w:p>
    <w:p w14:paraId="46A56217">
      <w:pPr>
        <w:widowControl w:val="0"/>
        <w:spacing w:before="0" w:after="0" w:line="360" w:lineRule="auto"/>
        <w:rPr>
          <w:sz w:val="21"/>
          <w:szCs w:val="21"/>
        </w:rPr>
      </w:pPr>
      <w:r>
        <w:rPr>
          <w:sz w:val="21"/>
          <w:szCs w:val="21"/>
        </w:rPr>
        <w:t xml:space="preserve">18. </w:t>
      </w:r>
      <w:r>
        <w:rPr>
          <w:rFonts w:ascii="宋体" w:hAnsi="宋体" w:eastAsia="宋体" w:cs="宋体"/>
          <w:sz w:val="21"/>
          <w:szCs w:val="21"/>
        </w:rPr>
        <w:t>阅读材料，回答问题</w:t>
      </w:r>
      <w:r>
        <w:rPr>
          <w:strike w:val="0"/>
          <w:sz w:val="21"/>
          <w:szCs w:val="21"/>
          <w:u w:val="none"/>
        </w:rPr>
        <w:drawing>
          <wp:inline distT="0" distB="0" distL="114300" distR="114300">
            <wp:extent cx="133350" cy="76200"/>
            <wp:effectExtent l="0" t="0" r="0" b="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20"/>
                    <a:stretch>
                      <a:fillRect/>
                    </a:stretch>
                  </pic:blipFill>
                  <pic:spPr>
                    <a:xfrm>
                      <a:off x="0" y="0"/>
                      <a:ext cx="133350" cy="76200"/>
                    </a:xfrm>
                    <a:prstGeom prst="rect">
                      <a:avLst/>
                    </a:prstGeom>
                  </pic:spPr>
                </pic:pic>
              </a:graphicData>
            </a:graphic>
          </wp:inline>
        </w:drawing>
      </w:r>
    </w:p>
    <w:p w14:paraId="5997252C">
      <w:pPr>
        <w:widowControl w:val="0"/>
        <w:spacing w:before="0" w:after="0" w:line="360" w:lineRule="auto"/>
        <w:jc w:val="center"/>
        <w:rPr>
          <w:sz w:val="21"/>
          <w:szCs w:val="21"/>
        </w:rPr>
      </w:pPr>
      <w:r>
        <w:rPr>
          <w:rFonts w:ascii="楷体" w:hAnsi="楷体" w:eastAsia="楷体" w:cs="楷体"/>
          <w:sz w:val="21"/>
          <w:szCs w:val="21"/>
        </w:rPr>
        <w:t>数字里的上海</w:t>
      </w:r>
    </w:p>
    <w:p w14:paraId="236C9DE3">
      <w:pPr>
        <w:widowControl w:val="0"/>
        <w:spacing w:before="0" w:after="0" w:line="360" w:lineRule="auto"/>
        <w:ind w:firstLine="420"/>
        <w:rPr>
          <w:sz w:val="21"/>
          <w:szCs w:val="21"/>
        </w:rPr>
      </w:pPr>
      <w:r>
        <w:rPr>
          <w:rFonts w:ascii="楷体" w:hAnsi="楷体" w:eastAsia="楷体" w:cs="楷体"/>
          <w:sz w:val="21"/>
          <w:szCs w:val="21"/>
        </w:rPr>
        <w:t>材料一</w:t>
      </w:r>
    </w:p>
    <w:p w14:paraId="26D10122">
      <w:pPr>
        <w:widowControl w:val="0"/>
        <w:spacing w:before="0" w:after="0" w:line="360" w:lineRule="auto"/>
        <w:rPr>
          <w:sz w:val="21"/>
          <w:szCs w:val="21"/>
        </w:rPr>
      </w:pPr>
      <w:r>
        <w:rPr>
          <w:strike w:val="0"/>
          <w:sz w:val="21"/>
          <w:szCs w:val="21"/>
          <w:u w:val="none"/>
        </w:rPr>
        <w:drawing>
          <wp:inline distT="0" distB="0" distL="114300" distR="114300">
            <wp:extent cx="2447925" cy="1781175"/>
            <wp:effectExtent l="0" t="0" r="9525" b="9525"/>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447925" cy="1781175"/>
                    </a:xfrm>
                    <a:prstGeom prst="rect">
                      <a:avLst/>
                    </a:prstGeom>
                  </pic:spPr>
                </pic:pic>
              </a:graphicData>
            </a:graphic>
          </wp:inline>
        </w:drawing>
      </w:r>
    </w:p>
    <w:p w14:paraId="06F19C91">
      <w:pPr>
        <w:widowControl w:val="0"/>
        <w:spacing w:before="0" w:after="0" w:line="360" w:lineRule="auto"/>
        <w:rPr>
          <w:sz w:val="21"/>
          <w:szCs w:val="21"/>
        </w:rPr>
      </w:pPr>
      <w:r>
        <w:rPr>
          <w:rFonts w:ascii="楷体" w:hAnsi="楷体" w:eastAsia="楷体" w:cs="楷体"/>
          <w:sz w:val="21"/>
          <w:szCs w:val="21"/>
        </w:rPr>
        <w:t>1945—1947年上海工业分行业资本占比情况</w:t>
      </w:r>
    </w:p>
    <w:p w14:paraId="1F99EAAD">
      <w:pPr>
        <w:widowControl w:val="0"/>
        <w:spacing w:before="0" w:after="0" w:line="360" w:lineRule="auto"/>
        <w:ind w:firstLine="420"/>
        <w:rPr>
          <w:sz w:val="21"/>
          <w:szCs w:val="21"/>
        </w:rPr>
      </w:pPr>
      <w:r>
        <w:rPr>
          <w:rFonts w:ascii="楷体" w:hAnsi="楷体" w:eastAsia="楷体" w:cs="楷体"/>
          <w:sz w:val="21"/>
          <w:szCs w:val="21"/>
        </w:rPr>
        <w:t>1947年，上海有工厂7738家、工人367433人，分别占全国12个主要城市工厂、工人总数的60%、61%。上海解放前夕，外国资本控制了全市90%以上的电力供应，73%的自来水供应，97%的煤气供应，100%的电话和电车经营。官僚资本企业拥有的炼钢炉占全市总数的85.7%，钢产量占89.3%；拥有的纱锭和布机分别占全市总数的38．5%和59.2%</w:t>
      </w:r>
    </w:p>
    <w:p w14:paraId="45953334">
      <w:pPr>
        <w:widowControl w:val="0"/>
        <w:spacing w:before="0" w:after="0" w:line="360" w:lineRule="auto"/>
        <w:ind w:firstLine="420"/>
        <w:jc w:val="right"/>
        <w:rPr>
          <w:sz w:val="21"/>
          <w:szCs w:val="21"/>
        </w:rPr>
      </w:pPr>
      <w:r>
        <w:rPr>
          <w:rFonts w:ascii="楷体" w:hAnsi="楷体" w:eastAsia="楷体" w:cs="楷体"/>
          <w:sz w:val="21"/>
          <w:szCs w:val="21"/>
        </w:rPr>
        <w:t>——摘编自严中平等编《中国近代经济史统计资料选辑》等</w:t>
      </w:r>
    </w:p>
    <w:p w14:paraId="1E150200">
      <w:pPr>
        <w:widowControl w:val="0"/>
        <w:spacing w:before="0" w:after="0" w:line="360" w:lineRule="auto"/>
        <w:ind w:firstLine="420"/>
        <w:rPr>
          <w:sz w:val="21"/>
          <w:szCs w:val="21"/>
        </w:rPr>
      </w:pPr>
      <w:r>
        <w:rPr>
          <w:rFonts w:ascii="楷体" w:hAnsi="楷体" w:eastAsia="楷体" w:cs="楷体"/>
          <w:sz w:val="21"/>
          <w:szCs w:val="21"/>
        </w:rPr>
        <w:t>材料二</w:t>
      </w:r>
    </w:p>
    <w:p w14:paraId="261241B3">
      <w:pPr>
        <w:widowControl w:val="0"/>
        <w:spacing w:before="0" w:after="0" w:line="360" w:lineRule="auto"/>
        <w:rPr>
          <w:sz w:val="21"/>
          <w:szCs w:val="21"/>
        </w:rPr>
      </w:pPr>
      <w:r>
        <w:rPr>
          <w:strike w:val="0"/>
          <w:sz w:val="21"/>
          <w:szCs w:val="21"/>
          <w:u w:val="none"/>
        </w:rPr>
        <w:drawing>
          <wp:inline distT="0" distB="0" distL="114300" distR="114300">
            <wp:extent cx="2590800" cy="1971675"/>
            <wp:effectExtent l="0" t="0" r="0" b="9525"/>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2590800" cy="1971675"/>
                    </a:xfrm>
                    <a:prstGeom prst="rect">
                      <a:avLst/>
                    </a:prstGeom>
                  </pic:spPr>
                </pic:pic>
              </a:graphicData>
            </a:graphic>
          </wp:inline>
        </w:drawing>
      </w:r>
    </w:p>
    <w:p w14:paraId="2F2C93E5">
      <w:pPr>
        <w:widowControl w:val="0"/>
        <w:spacing w:before="0" w:after="0" w:line="360" w:lineRule="auto"/>
        <w:rPr>
          <w:sz w:val="21"/>
          <w:szCs w:val="21"/>
        </w:rPr>
      </w:pPr>
      <w:r>
        <w:rPr>
          <w:rFonts w:ascii="楷体" w:hAnsi="楷体" w:eastAsia="楷体" w:cs="楷体"/>
          <w:sz w:val="21"/>
          <w:szCs w:val="21"/>
        </w:rPr>
        <w:t>1949—1957年上海轻、重工业产值和占比变化情况</w:t>
      </w:r>
    </w:p>
    <w:p w14:paraId="6B3A4866">
      <w:pPr>
        <w:widowControl w:val="0"/>
        <w:spacing w:before="0" w:after="0" w:line="360" w:lineRule="auto"/>
        <w:ind w:firstLine="420"/>
        <w:rPr>
          <w:sz w:val="21"/>
          <w:szCs w:val="21"/>
        </w:rPr>
      </w:pPr>
      <w:r>
        <w:rPr>
          <w:rFonts w:ascii="楷体" w:hAnsi="楷体" w:eastAsia="楷体" w:cs="楷体"/>
          <w:sz w:val="21"/>
          <w:szCs w:val="21"/>
        </w:rPr>
        <w:t>新中国成立初期，上海的工业品绝大部分供应全国，不少工厂为国家重点建设的156个项目生产配套设备。1953—1957年，上海共有272家轻纺类工厂内迁。整个五十年代，上海支援各地的机器设备计有6000多台。1956年，上海进行了第一次工业大改组，全市2万多个工厂分行业成立了83个行政性专业工业公司</w:t>
      </w:r>
    </w:p>
    <w:p w14:paraId="6A2B3CD0">
      <w:pPr>
        <w:widowControl w:val="0"/>
        <w:spacing w:before="0" w:after="0" w:line="360" w:lineRule="auto"/>
        <w:ind w:firstLine="420"/>
        <w:jc w:val="right"/>
        <w:rPr>
          <w:sz w:val="21"/>
          <w:szCs w:val="21"/>
        </w:rPr>
      </w:pPr>
      <w:r>
        <w:rPr>
          <w:rFonts w:ascii="楷体" w:hAnsi="楷体" w:eastAsia="楷体" w:cs="楷体"/>
          <w:sz w:val="21"/>
          <w:szCs w:val="21"/>
        </w:rPr>
        <w:t>——摘编自《上海统计年鉴》等</w:t>
      </w:r>
    </w:p>
    <w:p w14:paraId="6A2A1E51">
      <w:pPr>
        <w:widowControl w:val="0"/>
        <w:spacing w:before="0" w:after="0" w:line="360" w:lineRule="auto"/>
        <w:rPr>
          <w:sz w:val="21"/>
          <w:szCs w:val="21"/>
        </w:rPr>
      </w:pPr>
      <w:r>
        <w:rPr>
          <w:rFonts w:ascii="宋体" w:hAnsi="宋体" w:eastAsia="宋体" w:cs="宋体"/>
          <w:sz w:val="21"/>
          <w:szCs w:val="21"/>
        </w:rPr>
        <w:t>提取材料信息，以“上海·缩影”为题写一则历史短文。（要求：表述成文，叙述完整；立论正确，史论结合；逻辑严密，条理清晰。）</w:t>
      </w:r>
      <w:r>
        <w:rPr>
          <w:strike w:val="0"/>
          <w:sz w:val="21"/>
          <w:szCs w:val="21"/>
          <w:u w:val="none"/>
        </w:rPr>
        <w:drawing>
          <wp:inline distT="0" distB="0" distL="114300" distR="114300">
            <wp:extent cx="28575" cy="28575"/>
            <wp:effectExtent l="0" t="0" r="0" b="0"/>
            <wp:docPr id="100105" name="图片 100105"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page number 5"/>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5E13F5C0">
      <w:pPr>
        <w:sectPr>
          <w:headerReference r:id="rId7" w:type="default"/>
          <w:type w:val="continuous"/>
          <w:pgSz w:w="11927" w:h="16875"/>
          <w:pgMar w:top="800" w:right="1120" w:bottom="540" w:left="1120" w:header="708" w:footer="708" w:gutter="0"/>
          <w:cols w:space="708" w:num="1"/>
          <w:docGrid w:linePitch="360" w:charSpace="0"/>
        </w:sectPr>
      </w:pPr>
    </w:p>
    <w:p w14:paraId="1B608FC2">
      <w:pPr>
        <w:widowControl w:val="0"/>
        <w:spacing w:before="0" w:after="0" w:line="360" w:lineRule="auto"/>
        <w:rPr>
          <w:sz w:val="21"/>
          <w:szCs w:val="21"/>
        </w:rPr>
      </w:pPr>
      <w:r>
        <w:rPr>
          <w:sz w:val="21"/>
          <w:szCs w:val="21"/>
        </w:rPr>
        <w:t xml:space="preserve">19. </w:t>
      </w:r>
      <w:r>
        <w:rPr>
          <w:rFonts w:ascii="宋体" w:hAnsi="宋体" w:eastAsia="宋体" w:cs="宋体"/>
          <w:sz w:val="21"/>
          <w:szCs w:val="21"/>
        </w:rPr>
        <w:t>阅读材料，回答问题。</w:t>
      </w:r>
    </w:p>
    <w:p w14:paraId="5E945D59">
      <w:pPr>
        <w:widowControl w:val="0"/>
        <w:spacing w:before="0" w:after="0" w:line="360" w:lineRule="auto"/>
        <w:ind w:firstLine="420"/>
        <w:jc w:val="center"/>
        <w:rPr>
          <w:sz w:val="21"/>
          <w:szCs w:val="21"/>
        </w:rPr>
      </w:pPr>
      <w:r>
        <w:rPr>
          <w:rFonts w:ascii="楷体" w:hAnsi="楷体" w:eastAsia="楷体" w:cs="楷体"/>
          <w:sz w:val="21"/>
          <w:szCs w:val="21"/>
        </w:rPr>
        <w:t>非洲的“解放”</w:t>
      </w:r>
    </w:p>
    <w:p w14:paraId="2B1F8B65">
      <w:pPr>
        <w:widowControl w:val="0"/>
        <w:spacing w:before="0" w:after="0" w:line="360" w:lineRule="auto"/>
        <w:ind w:firstLine="420"/>
        <w:rPr>
          <w:sz w:val="21"/>
          <w:szCs w:val="21"/>
        </w:rPr>
      </w:pPr>
      <w:r>
        <w:rPr>
          <w:rFonts w:ascii="楷体" w:hAnsi="楷体" w:eastAsia="楷体" w:cs="楷体"/>
          <w:sz w:val="21"/>
          <w:szCs w:val="21"/>
        </w:rPr>
        <w:t>材料一  下表是1960—1980年部分非洲国家主要商品出口情况统计。</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60"/>
        <w:gridCol w:w="1290"/>
        <w:gridCol w:w="1080"/>
        <w:gridCol w:w="923"/>
        <w:gridCol w:w="923"/>
        <w:gridCol w:w="923"/>
      </w:tblGrid>
      <w:tr w14:paraId="6D63155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vMerge w:val="restart"/>
            <w:tcBorders>
              <w:bottom w:val="single" w:color="000000" w:sz="6" w:space="0"/>
              <w:right w:val="single" w:color="000000" w:sz="6" w:space="0"/>
            </w:tcBorders>
            <w:noWrap w:val="0"/>
            <w:tcMar>
              <w:top w:w="76" w:type="dxa"/>
              <w:left w:w="120" w:type="dxa"/>
              <w:bottom w:w="76" w:type="dxa"/>
              <w:right w:w="120" w:type="dxa"/>
            </w:tcMar>
            <w:vAlign w:val="center"/>
          </w:tcPr>
          <w:p w14:paraId="1A39988B">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区域</w:t>
            </w:r>
          </w:p>
        </w:tc>
        <w:tc>
          <w:tcPr>
            <w:vMerge w:val="restart"/>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561794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国别</w:t>
            </w:r>
          </w:p>
        </w:tc>
        <w:tc>
          <w:tcPr>
            <w:vMerge w:val="restart"/>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DD4AF6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主要商品</w:t>
            </w:r>
          </w:p>
        </w:tc>
        <w:tc>
          <w:tcPr>
            <w:gridSpan w:val="3"/>
            <w:tcBorders>
              <w:left w:val="single" w:color="000000" w:sz="6" w:space="0"/>
              <w:bottom w:val="single" w:color="000000" w:sz="6" w:space="0"/>
            </w:tcBorders>
            <w:noWrap w:val="0"/>
            <w:tcMar>
              <w:top w:w="76" w:type="dxa"/>
              <w:left w:w="120" w:type="dxa"/>
              <w:bottom w:w="76" w:type="dxa"/>
              <w:right w:w="120" w:type="dxa"/>
            </w:tcMar>
            <w:vAlign w:val="center"/>
          </w:tcPr>
          <w:p w14:paraId="0C39F38E">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在出口总值中的占比（%）</w:t>
            </w:r>
          </w:p>
        </w:tc>
      </w:tr>
      <w:tr w14:paraId="0C9080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vMerge w:val="continue"/>
            <w:tcBorders>
              <w:bottom w:val="single" w:color="000000" w:sz="6" w:space="0"/>
              <w:right w:val="single" w:color="000000" w:sz="6" w:space="0"/>
            </w:tcBorders>
            <w:vAlign w:val="center"/>
          </w:tcPr>
          <w:p w14:paraId="3E8112D6">
            <w:pPr>
              <w:rPr>
                <w:rFonts w:ascii="楷体" w:hAnsi="楷体" w:eastAsia="楷体" w:cs="楷体"/>
                <w:b w:val="0"/>
                <w:bCs w:val="0"/>
                <w:i w:val="0"/>
                <w:iCs w:val="0"/>
                <w:smallCaps w:val="0"/>
                <w:color w:val="000000"/>
                <w:sz w:val="21"/>
                <w:szCs w:val="21"/>
              </w:rPr>
            </w:pPr>
          </w:p>
        </w:tc>
        <w:tc>
          <w:tcPr>
            <w:vMerge w:val="continue"/>
            <w:tcBorders>
              <w:left w:val="single" w:color="000000" w:sz="6" w:space="0"/>
              <w:bottom w:val="single" w:color="000000" w:sz="6" w:space="0"/>
              <w:right w:val="single" w:color="000000" w:sz="6" w:space="0"/>
            </w:tcBorders>
            <w:vAlign w:val="center"/>
          </w:tcPr>
          <w:p w14:paraId="3A76A555">
            <w:pPr>
              <w:rPr>
                <w:rFonts w:ascii="楷体" w:hAnsi="楷体" w:eastAsia="楷体" w:cs="楷体"/>
                <w:b w:val="0"/>
                <w:bCs w:val="0"/>
                <w:i w:val="0"/>
                <w:iCs w:val="0"/>
                <w:smallCaps w:val="0"/>
                <w:color w:val="000000"/>
                <w:sz w:val="21"/>
                <w:szCs w:val="21"/>
              </w:rPr>
            </w:pPr>
          </w:p>
        </w:tc>
        <w:tc>
          <w:tcPr>
            <w:vMerge w:val="continue"/>
            <w:tcBorders>
              <w:left w:val="single" w:color="000000" w:sz="6" w:space="0"/>
              <w:bottom w:val="single" w:color="000000" w:sz="6" w:space="0"/>
              <w:right w:val="single" w:color="000000" w:sz="6" w:space="0"/>
            </w:tcBorders>
            <w:vAlign w:val="center"/>
          </w:tcPr>
          <w:p w14:paraId="719713F3">
            <w:pPr>
              <w:rPr>
                <w:rFonts w:ascii="楷体" w:hAnsi="楷体" w:eastAsia="楷体" w:cs="楷体"/>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77F0D97">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1960年</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2FAB9E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1970年</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DD0B71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1980年</w:t>
            </w:r>
          </w:p>
        </w:tc>
      </w:tr>
      <w:tr w14:paraId="14D240E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BF8996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北部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F5C79C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埃及</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4CCA99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74E9E08">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9E6D1A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4.6</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4E101D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57.8</w:t>
            </w:r>
          </w:p>
        </w:tc>
      </w:tr>
      <w:tr w14:paraId="2199151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1223A7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A3D956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阿尔及利亚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383EA5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24B2EAD">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FF84CC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67.5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EA2CC7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91.6</w:t>
            </w:r>
          </w:p>
        </w:tc>
      </w:tr>
      <w:tr w14:paraId="54ABDE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90BB65B">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东部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E08CDC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埃塞俄比亚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1439E2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咖啡</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A5F616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49.0</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F4C6CF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59.3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03E6591">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64.1</w:t>
            </w:r>
          </w:p>
        </w:tc>
      </w:tr>
      <w:tr w14:paraId="39FE36B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4514C3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AA247C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乌干达</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06C2E52">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咖啡</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164BEF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36.9</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593414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50.4</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4F34D34">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98.7</w:t>
            </w:r>
          </w:p>
        </w:tc>
      </w:tr>
      <w:tr w14:paraId="52D9E71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CC46EC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西部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9FC293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尼日利亚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9BA38E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755B77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2.7</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93BBA3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57.6</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1BCE699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95.3</w:t>
            </w:r>
          </w:p>
        </w:tc>
      </w:tr>
      <w:tr w14:paraId="12E95E7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DD3173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21CA50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利比里亚</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816C727">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铁矿砂</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8F5172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41.9</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99C98A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70.1</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2B3B63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52.7</w:t>
            </w:r>
          </w:p>
        </w:tc>
      </w:tr>
      <w:tr w14:paraId="216600B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5A30CBF">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中部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1D8A0B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加蓬</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4D4AF4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BBF023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21.4</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664869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34.3</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10DED3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62.3</w:t>
            </w:r>
          </w:p>
        </w:tc>
      </w:tr>
      <w:tr w14:paraId="71BFC0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8469510">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5489FA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刚果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758869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石油</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53EBAC2">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8742DBA">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10.5</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05A1BC5">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77.9</w:t>
            </w:r>
          </w:p>
        </w:tc>
      </w:tr>
      <w:tr w14:paraId="249E34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5930A36">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南部</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402E28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博茨瓦纳</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A0F066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钻石</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EDE523B">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1584CC9">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14.7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0272A1C">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60.8</w:t>
            </w:r>
          </w:p>
        </w:tc>
      </w:tr>
      <w:tr w14:paraId="57CEA76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70B466C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非洲</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BAA06C3">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赞比亚</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9671C8D">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铜</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2863CAE">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AD2A28E">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95.2</w:t>
            </w:r>
          </w:p>
        </w:tc>
        <w:tc>
          <w:tcPr>
            <w:tcBorders>
              <w:top w:val="single" w:color="000000" w:sz="6" w:space="0"/>
              <w:left w:val="single" w:color="000000" w:sz="6" w:space="0"/>
            </w:tcBorders>
            <w:noWrap w:val="0"/>
            <w:tcMar>
              <w:top w:w="76" w:type="dxa"/>
              <w:left w:w="120" w:type="dxa"/>
              <w:bottom w:w="76" w:type="dxa"/>
              <w:right w:w="120" w:type="dxa"/>
            </w:tcMar>
            <w:vAlign w:val="center"/>
          </w:tcPr>
          <w:p w14:paraId="04158698">
            <w:pPr>
              <w:widowControl w:val="0"/>
              <w:spacing w:before="0" w:after="0" w:line="360" w:lineRule="auto"/>
              <w:jc w:val="both"/>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91.3</w:t>
            </w:r>
          </w:p>
        </w:tc>
      </w:tr>
    </w:tbl>
    <w:p w14:paraId="72D77F45">
      <w:pPr>
        <w:widowControl w:val="0"/>
        <w:spacing w:before="0" w:after="0" w:line="360" w:lineRule="auto"/>
        <w:ind w:firstLine="420"/>
        <w:jc w:val="right"/>
        <w:rPr>
          <w:sz w:val="21"/>
          <w:szCs w:val="21"/>
        </w:rPr>
      </w:pPr>
      <w:r>
        <w:rPr>
          <w:rFonts w:ascii="楷体" w:hAnsi="楷体" w:eastAsia="楷体" w:cs="楷体"/>
          <w:sz w:val="21"/>
          <w:szCs w:val="21"/>
        </w:rPr>
        <w:t>——摘编自[肯尼亚]A．A．马兹鲁伊主编《非洲通史》（第八卷）</w:t>
      </w:r>
    </w:p>
    <w:p w14:paraId="1CE8116D">
      <w:pPr>
        <w:widowControl w:val="0"/>
        <w:spacing w:before="0" w:after="0" w:line="360" w:lineRule="auto"/>
        <w:ind w:firstLine="420"/>
        <w:rPr>
          <w:sz w:val="21"/>
          <w:szCs w:val="21"/>
        </w:rPr>
      </w:pPr>
      <w:r>
        <w:rPr>
          <w:rFonts w:ascii="楷体" w:hAnsi="楷体" w:eastAsia="楷体" w:cs="楷体"/>
          <w:sz w:val="21"/>
          <w:szCs w:val="21"/>
        </w:rPr>
        <w:t>材料二  1962—1995年，法国在非洲总共进行了19次军事行动。与非洲法语区国家共签订了23个军事合作协定。法国军队在其中六个国家执行“提高影响力的任务”：喀麦隆（10人）、吉布提（3500人）、加蓬（610人）、科特迪瓦（580人）、中非共和国（1500人）、塞内加尔（1300人）。</w:t>
      </w:r>
    </w:p>
    <w:p w14:paraId="29B0D658">
      <w:pPr>
        <w:widowControl w:val="0"/>
        <w:spacing w:before="0" w:after="0" w:line="360" w:lineRule="auto"/>
        <w:ind w:firstLine="420"/>
        <w:jc w:val="right"/>
        <w:rPr>
          <w:sz w:val="21"/>
          <w:szCs w:val="21"/>
        </w:rPr>
      </w:pPr>
      <w:r>
        <w:rPr>
          <w:rFonts w:ascii="楷体" w:hAnsi="楷体" w:eastAsia="楷体" w:cs="楷体"/>
          <w:sz w:val="21"/>
          <w:szCs w:val="21"/>
        </w:rPr>
        <w:t>——摘编自[法]多米尼克·马亚尔《从历史角度看法国在非洲的军事存在》</w:t>
      </w:r>
    </w:p>
    <w:p w14:paraId="6505413B"/>
    <w:p w14:paraId="006B7DBC">
      <w:pPr>
        <w:widowControl w:val="0"/>
        <w:spacing w:before="0" w:after="0" w:line="360" w:lineRule="auto"/>
        <w:ind w:firstLine="420"/>
        <w:rPr>
          <w:sz w:val="21"/>
          <w:szCs w:val="21"/>
        </w:rPr>
      </w:pPr>
      <w:r>
        <w:rPr>
          <w:rFonts w:ascii="楷体" w:hAnsi="楷体" w:eastAsia="楷体" w:cs="楷体"/>
          <w:sz w:val="21"/>
          <w:szCs w:val="21"/>
        </w:rPr>
        <w:t>材料三</w:t>
      </w:r>
    </w:p>
    <w:tbl>
      <w:tblPr>
        <w:tblStyle w:val="4"/>
        <w:tblW w:w="708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990"/>
        <w:gridCol w:w="6090"/>
      </w:tblGrid>
      <w:tr w14:paraId="19977C3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90" w:type="dxa"/>
            <w:tcBorders>
              <w:right w:val="single" w:color="000000" w:sz="6" w:space="0"/>
            </w:tcBorders>
            <w:noWrap w:val="0"/>
            <w:tcMar>
              <w:top w:w="76" w:type="dxa"/>
              <w:left w:w="120" w:type="dxa"/>
              <w:bottom w:w="76" w:type="dxa"/>
              <w:right w:w="120" w:type="dxa"/>
            </w:tcMar>
            <w:vAlign w:val="center"/>
          </w:tcPr>
          <w:p w14:paraId="23820122">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甲</w:t>
            </w:r>
          </w:p>
        </w:tc>
        <w:tc>
          <w:tcPr>
            <w:tcW w:w="6090" w:type="dxa"/>
            <w:tcBorders>
              <w:left w:val="single" w:color="000000" w:sz="6" w:space="0"/>
            </w:tcBorders>
            <w:noWrap w:val="0"/>
            <w:tcMar>
              <w:top w:w="76" w:type="dxa"/>
              <w:left w:w="120" w:type="dxa"/>
              <w:bottom w:w="76" w:type="dxa"/>
              <w:right w:w="120" w:type="dxa"/>
            </w:tcMar>
            <w:vAlign w:val="center"/>
          </w:tcPr>
          <w:p w14:paraId="78432751">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1963年10月，牛津大学教授休·特雷弗-罗珀在一次讲座中称：非洲新的统治者们所立足的都是欧洲创建的文明基础，是欧洲的技术、欧洲的榜样和欧洲的思想让非洲世界走出野蛮时代，与过去的传统分隔开来。非洲过去的历史，如果有意义的话，就在于它是欧洲的历史。</w:t>
            </w:r>
          </w:p>
          <w:p w14:paraId="53721F7A">
            <w:pPr>
              <w:widowControl w:val="0"/>
              <w:spacing w:before="0" w:after="0" w:line="360" w:lineRule="auto"/>
              <w:ind w:firstLine="420"/>
              <w:rPr>
                <w:b w:val="0"/>
                <w:bCs w:val="0"/>
                <w:i w:val="0"/>
                <w:iCs w:val="0"/>
                <w:smallCaps w:val="0"/>
                <w:color w:val="000000"/>
                <w:sz w:val="21"/>
                <w:szCs w:val="21"/>
              </w:rPr>
            </w:pPr>
          </w:p>
        </w:tc>
      </w:tr>
    </w:tbl>
    <w:p w14:paraId="4737D919">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 name="图片 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age number 6"/>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3B4497B7">
      <w:pPr>
        <w:sectPr>
          <w:headerReference r:id="rId8" w:type="default"/>
          <w:type w:val="continuous"/>
          <w:pgSz w:w="11927" w:h="16875"/>
          <w:pgMar w:top="800" w:right="1120" w:bottom="540" w:left="1120" w:header="708" w:footer="708" w:gutter="0"/>
          <w:cols w:space="708" w:num="1"/>
          <w:docGrid w:linePitch="360" w:charSpace="0"/>
        </w:sectPr>
      </w:pPr>
    </w:p>
    <w:tbl>
      <w:tblPr>
        <w:tblStyle w:val="4"/>
        <w:tblW w:w="708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990"/>
        <w:gridCol w:w="6090"/>
      </w:tblGrid>
      <w:tr w14:paraId="794E174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90" w:type="dxa"/>
            <w:tcBorders>
              <w:right w:val="single" w:color="000000" w:sz="6" w:space="0"/>
            </w:tcBorders>
            <w:noWrap w:val="0"/>
            <w:tcMar>
              <w:top w:w="76" w:type="dxa"/>
              <w:left w:w="120" w:type="dxa"/>
              <w:bottom w:w="76" w:type="dxa"/>
              <w:right w:w="120" w:type="dxa"/>
            </w:tcMar>
            <w:vAlign w:val="center"/>
          </w:tcPr>
          <w:p w14:paraId="17C0CAF1">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乙</w:t>
            </w:r>
          </w:p>
          <w:p w14:paraId="33D09CB6">
            <w:pPr>
              <w:widowControl w:val="0"/>
              <w:spacing w:before="0" w:after="0" w:line="360" w:lineRule="auto"/>
              <w:ind w:firstLine="420"/>
              <w:rPr>
                <w:b w:val="0"/>
                <w:bCs w:val="0"/>
                <w:i w:val="0"/>
                <w:iCs w:val="0"/>
                <w:smallCaps w:val="0"/>
                <w:color w:val="000000"/>
                <w:sz w:val="21"/>
                <w:szCs w:val="21"/>
              </w:rPr>
            </w:pPr>
          </w:p>
        </w:tc>
        <w:tc>
          <w:tcPr>
            <w:tcW w:w="6090" w:type="dxa"/>
            <w:tcBorders>
              <w:left w:val="single" w:color="000000" w:sz="6" w:space="0"/>
            </w:tcBorders>
            <w:noWrap w:val="0"/>
            <w:tcMar>
              <w:top w:w="76" w:type="dxa"/>
              <w:left w:w="120" w:type="dxa"/>
              <w:bottom w:w="76" w:type="dxa"/>
              <w:right w:w="120" w:type="dxa"/>
            </w:tcMar>
            <w:vAlign w:val="center"/>
          </w:tcPr>
          <w:p w14:paraId="2D44AA17">
            <w:pPr>
              <w:widowControl w:val="0"/>
              <w:spacing w:before="0" w:after="0" w:line="360" w:lineRule="auto"/>
              <w:ind w:firstLine="420"/>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1999年8月，尼日利亚的牧师瑞弗伦德·苏尖锐批评说：“大多数受过教育的尼日利亚人民，他们都是外国行为方式的模仿者，喜欢在我们面前炫耀他们的欧美超道德（实际是非道德的）倾向……”</w:t>
            </w:r>
          </w:p>
        </w:tc>
      </w:tr>
    </w:tbl>
    <w:p w14:paraId="4FC7E06B">
      <w:pPr>
        <w:widowControl w:val="0"/>
        <w:spacing w:before="0" w:after="0" w:line="360" w:lineRule="auto"/>
        <w:ind w:firstLine="420"/>
        <w:jc w:val="right"/>
        <w:rPr>
          <w:rFonts w:ascii="楷体" w:hAnsi="楷体" w:eastAsia="楷体" w:cs="楷体"/>
          <w:sz w:val="21"/>
          <w:szCs w:val="21"/>
        </w:rPr>
      </w:pPr>
    </w:p>
    <w:p w14:paraId="48E7EB41">
      <w:pPr>
        <w:widowControl w:val="0"/>
        <w:spacing w:before="0" w:after="0" w:line="360" w:lineRule="auto"/>
        <w:ind w:firstLine="420"/>
        <w:jc w:val="right"/>
        <w:rPr>
          <w:rFonts w:ascii="楷体" w:hAnsi="楷体" w:eastAsia="楷体" w:cs="楷体"/>
          <w:sz w:val="21"/>
          <w:szCs w:val="21"/>
        </w:rPr>
      </w:pPr>
    </w:p>
    <w:p w14:paraId="29C39323">
      <w:pPr>
        <w:widowControl w:val="0"/>
        <w:spacing w:before="0" w:after="0" w:line="360" w:lineRule="auto"/>
        <w:ind w:firstLine="420"/>
        <w:jc w:val="right"/>
        <w:rPr>
          <w:sz w:val="21"/>
          <w:szCs w:val="21"/>
        </w:rPr>
      </w:pPr>
      <w:r>
        <w:rPr>
          <w:rFonts w:ascii="楷体" w:hAnsi="楷体" w:eastAsia="楷体" w:cs="楷体"/>
          <w:sz w:val="21"/>
          <w:szCs w:val="21"/>
        </w:rPr>
        <w:t>——摘编自[加纳]乔治·B．N．阿耶提《解放后的非洲：非洲未来发展的蓝图》等</w:t>
      </w:r>
    </w:p>
    <w:p w14:paraId="168F5CF2">
      <w:pPr>
        <w:widowControl w:val="0"/>
        <w:spacing w:before="0" w:after="0" w:line="360" w:lineRule="auto"/>
        <w:rPr>
          <w:sz w:val="21"/>
          <w:szCs w:val="21"/>
        </w:rPr>
      </w:pPr>
      <w:r>
        <w:rPr>
          <w:rFonts w:ascii="宋体" w:hAnsi="宋体" w:eastAsia="宋体" w:cs="宋体"/>
          <w:sz w:val="21"/>
          <w:szCs w:val="21"/>
        </w:rPr>
        <w:t>分析说明什么是“真正的解放”。</w:t>
      </w:r>
    </w:p>
    <w:p w14:paraId="3FB668B2">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2" name="图片 2"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age number 7"/>
                    <pic:cNvPicPr>
                      <a:picLocks noChangeAspect="1"/>
                    </pic:cNvPicPr>
                  </pic:nvPicPr>
                  <pic:blipFill>
                    <a:blip r:embed="rId14"/>
                    <a:stretch>
                      <a:fillRect/>
                    </a:stretch>
                  </pic:blipFill>
                  <pic:spPr>
                    <a:xfrm>
                      <a:off x="0" y="0"/>
                      <a:ext cx="28575" cy="28575"/>
                    </a:xfrm>
                    <a:prstGeom prst="rect">
                      <a:avLst/>
                    </a:prstGeom>
                  </pic:spPr>
                </pic:pic>
              </a:graphicData>
            </a:graphic>
          </wp:inline>
        </w:drawing>
      </w:r>
    </w:p>
    <w:p w14:paraId="5F513B80">
      <w:bookmarkStart w:id="0" w:name="_GoBack"/>
      <w:bookmarkEnd w:id="0"/>
    </w:p>
    <w:p w14:paraId="51981268"/>
    <w:p w14:paraId="7E930A38"/>
    <w:p w14:paraId="27169E5B"/>
    <w:p w14:paraId="0F60D376"/>
    <w:p w14:paraId="7BF03253"/>
    <w:p w14:paraId="748C157B"/>
    <w:p w14:paraId="7D2348CB"/>
    <w:p w14:paraId="2D4C1E2C"/>
    <w:p w14:paraId="7A25A2B2"/>
    <w:p w14:paraId="7999E239"/>
    <w:p w14:paraId="1AF2F63E"/>
    <w:p w14:paraId="44530B7C"/>
    <w:p w14:paraId="7225EABA"/>
    <w:sectPr>
      <w:headerReference r:id="rId9"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C7FA3">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988AB">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8C9E2">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A6CFD">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C6E5F">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7422A">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1690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1701389B"/>
    <w:rsid w:val="60476C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7</Pages>
  <Words>3699</Words>
  <Characters>4092</Characters>
  <Lines>1</Lines>
  <Paragraphs>1</Paragraphs>
  <TotalTime>0</TotalTime>
  <ScaleCrop>false</ScaleCrop>
  <LinksUpToDate>false</LinksUpToDate>
  <CharactersWithSpaces>4270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2024-06-18T02:56:28Z</dcterms:created>
  <dc:creator>Administrator</dc:creator>
  <cp:lastModifiedBy>Administrator</cp:lastModifiedBy>
  <dcterms:modified xsi:type="dcterms:W3CDTF">2024-06-18T03:36:29Z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E04E2438165D4BAB8F2FFE44ED209C5B_12</vt:lpwstr>
  </property>
</Properties>
</file>