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D2BAF">
      <w:pPr>
        <w:widowControl w:val="0"/>
        <w:spacing w:before="0" w:after="0" w:line="360" w:lineRule="auto"/>
        <w:rPr>
          <w:sz w:val="21"/>
          <w:szCs w:val="21"/>
        </w:rPr>
      </w:pPr>
    </w:p>
    <w:p w14:paraId="5472291D">
      <w:pPr>
        <w:widowControl w:val="0"/>
        <w:spacing w:before="0" w:after="0" w:line="286" w:lineRule="auto"/>
        <w:jc w:val="center"/>
        <w:rPr>
          <w:sz w:val="32"/>
          <w:szCs w:val="32"/>
        </w:rPr>
      </w:pPr>
      <w:bookmarkStart w:id="0" w:name="_GoBack"/>
      <w:r>
        <w:rPr>
          <w:strike w:val="0"/>
          <w:sz w:val="32"/>
          <w:szCs w:val="32"/>
          <w:u w:val="none"/>
        </w:rPr>
        <w:drawing>
          <wp:anchor distT="0" distB="0" distL="114300" distR="114300" simplePos="0" relativeHeight="251659264" behindDoc="0" locked="0" layoutInCell="1" allowOverlap="1">
            <wp:simplePos x="0" y="0"/>
            <wp:positionH relativeFrom="page">
              <wp:posOffset>10464800</wp:posOffset>
            </wp:positionH>
            <wp:positionV relativeFrom="topMargin">
              <wp:posOffset>11201400</wp:posOffset>
            </wp:positionV>
            <wp:extent cx="381000" cy="333375"/>
            <wp:effectExtent l="0" t="0" r="0" b="952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23"/>
                    <a:stretch>
                      <a:fillRect/>
                    </a:stretch>
                  </pic:blipFill>
                  <pic:spPr>
                    <a:xfrm>
                      <a:off x="0" y="0"/>
                      <a:ext cx="381000" cy="333375"/>
                    </a:xfrm>
                    <a:prstGeom prst="rect">
                      <a:avLst/>
                    </a:prstGeom>
                  </pic:spPr>
                </pic:pic>
              </a:graphicData>
            </a:graphic>
          </wp:anchor>
        </w:drawing>
      </w:r>
      <w:bookmarkEnd w:id="0"/>
      <w:r>
        <w:rPr>
          <w:rFonts w:ascii="宋体" w:hAnsi="宋体" w:eastAsia="宋体" w:cs="宋体"/>
          <w:b/>
          <w:bCs/>
          <w:sz w:val="32"/>
          <w:szCs w:val="32"/>
        </w:rPr>
        <w:t>山东省2024年普通高中学业水平等级考试</w:t>
      </w:r>
    </w:p>
    <w:p w14:paraId="7477F2E2">
      <w:pPr>
        <w:widowControl w:val="0"/>
        <w:spacing w:before="0" w:after="0" w:line="286" w:lineRule="auto"/>
        <w:jc w:val="center"/>
        <w:rPr>
          <w:sz w:val="32"/>
          <w:szCs w:val="32"/>
        </w:rPr>
      </w:pPr>
      <w:r>
        <w:rPr>
          <w:rFonts w:ascii="宋体" w:hAnsi="宋体" w:eastAsia="宋体" w:cs="宋体"/>
          <w:b/>
          <w:bCs/>
          <w:sz w:val="32"/>
          <w:szCs w:val="32"/>
        </w:rPr>
        <w:t>历史</w:t>
      </w:r>
    </w:p>
    <w:p w14:paraId="030BE456">
      <w:pPr>
        <w:widowControl w:val="0"/>
        <w:spacing w:before="0" w:after="0" w:line="286" w:lineRule="auto"/>
      </w:pPr>
      <w:r>
        <w:rPr>
          <w:rFonts w:ascii="宋体" w:hAnsi="宋体" w:eastAsia="宋体" w:cs="宋体"/>
          <w:b/>
          <w:bCs/>
        </w:rPr>
        <w:t>一、选择题：本题共</w:t>
      </w:r>
      <w:r>
        <w:rPr>
          <w:b/>
          <w:bCs/>
        </w:rPr>
        <w:t>15</w:t>
      </w:r>
      <w:r>
        <w:rPr>
          <w:rFonts w:ascii="宋体" w:hAnsi="宋体" w:eastAsia="宋体" w:cs="宋体"/>
          <w:b/>
          <w:bCs/>
        </w:rPr>
        <w:t>小题，每小题</w:t>
      </w:r>
      <w:r>
        <w:rPr>
          <w:b/>
          <w:bCs/>
        </w:rPr>
        <w:t>3</w:t>
      </w:r>
      <w:r>
        <w:rPr>
          <w:rFonts w:ascii="宋体" w:hAnsi="宋体" w:eastAsia="宋体" w:cs="宋体"/>
          <w:b/>
          <w:bCs/>
        </w:rPr>
        <w:t>分，共</w:t>
      </w:r>
      <w:r>
        <w:rPr>
          <w:b/>
          <w:bCs/>
        </w:rPr>
        <w:t>45</w:t>
      </w:r>
      <w:r>
        <w:rPr>
          <w:rFonts w:ascii="宋体" w:hAnsi="宋体" w:eastAsia="宋体" w:cs="宋体"/>
          <w:b/>
          <w:bCs/>
        </w:rPr>
        <w:t>分。每小题只有一个选项符合题目要求。</w:t>
      </w:r>
    </w:p>
    <w:p w14:paraId="6DEB3CA0">
      <w:pPr>
        <w:widowControl w:val="0"/>
        <w:spacing w:before="0" w:after="0" w:line="360" w:lineRule="auto"/>
        <w:rPr>
          <w:sz w:val="21"/>
          <w:szCs w:val="21"/>
        </w:rPr>
      </w:pPr>
      <w:r>
        <w:rPr>
          <w:sz w:val="21"/>
          <w:szCs w:val="21"/>
        </w:rPr>
        <w:t xml:space="preserve">1. </w:t>
      </w:r>
      <w:r>
        <w:rPr>
          <w:rFonts w:ascii="宋体" w:hAnsi="宋体" w:eastAsia="宋体" w:cs="宋体"/>
          <w:sz w:val="21"/>
          <w:szCs w:val="21"/>
        </w:rPr>
        <w:t>商业是社会发展到一定阶段的产物。下列四处考古遗址所出土器物能表明商业已有较高程度发展的是（</w:t>
      </w:r>
      <w:r>
        <w:rPr>
          <w:sz w:val="21"/>
          <w:szCs w:val="21"/>
        </w:rPr>
        <w:t xml:space="preserve">    </w:t>
      </w:r>
      <w:r>
        <w:rPr>
          <w:rFonts w:ascii="宋体" w:hAnsi="宋体" w:eastAsia="宋体" w:cs="宋体"/>
          <w:sz w:val="21"/>
          <w:szCs w:val="21"/>
        </w:rPr>
        <w:t>）</w:t>
      </w:r>
    </w:p>
    <w:p w14:paraId="6BD7AD8E">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陶釜、蚌器、骨角器等</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指环、牙器、臂玉环等</w:t>
      </w:r>
    </w:p>
    <w:p w14:paraId="68236CB1">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石斧、石磨棒、石磨盘等</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骨贝、青铜贝、包金贝等</w:t>
      </w:r>
    </w:p>
    <w:p w14:paraId="26FD050E">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7A748897">
      <w:pPr>
        <w:widowControl w:val="0"/>
        <w:spacing w:before="0" w:after="0" w:line="360" w:lineRule="auto"/>
        <w:jc w:val="both"/>
        <w:rPr>
          <w:sz w:val="21"/>
          <w:szCs w:val="21"/>
        </w:rPr>
      </w:pPr>
      <w:r>
        <w:rPr>
          <w:rFonts w:ascii="宋体" w:hAnsi="宋体" w:eastAsia="宋体" w:cs="宋体"/>
          <w:color w:val="2E75B6"/>
          <w:sz w:val="21"/>
          <w:szCs w:val="21"/>
        </w:rPr>
        <w:t>【解析】</w:t>
      </w:r>
    </w:p>
    <w:p w14:paraId="375292F3">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本质题。据本题时间信息可知准确时空是：石器时代（中国）。据材料并结合所学可知，骨贝、青铜贝、包金贝等都是早期的货币形式，货币的出现和发展是商业发展到较高程度的重要标志。有了专门用于交换的媒介（货币），说明商品交换更加频繁和复杂，商业活动更加活跃和成熟，D项正确；陶釜、蚌器、骨角器等主要是生活用品和生产工具，不能直接体现商业的较高程度发展，排除A项；指环、牙器、臂玉环等更多是装饰品，与商业的高度发展关联不大，排除B项；石斧、石磨棒、石磨盘等主要是用于农业生产的工具，不能表明商业的较高程度，排除C项。故选D项。</w:t>
      </w:r>
    </w:p>
    <w:p w14:paraId="411D845A">
      <w:pPr>
        <w:widowControl w:val="0"/>
        <w:spacing w:before="0" w:after="0" w:line="360" w:lineRule="auto"/>
        <w:rPr>
          <w:sz w:val="21"/>
          <w:szCs w:val="21"/>
        </w:rPr>
      </w:pPr>
      <w:r>
        <w:rPr>
          <w:sz w:val="21"/>
          <w:szCs w:val="21"/>
        </w:rPr>
        <w:t xml:space="preserve">2. </w:t>
      </w:r>
      <w:r>
        <w:rPr>
          <w:rFonts w:ascii="宋体" w:hAnsi="宋体" w:eastAsia="宋体" w:cs="宋体"/>
          <w:sz w:val="21"/>
          <w:szCs w:val="21"/>
        </w:rPr>
        <w:t>西周时期，诸侯国在奉行周礼的同时，多尊重当地原有的风俗；春秋战国时期，诸侯国变革礼制，移风易俗，成为一种普遍现象。诸侯国转变做法主要是为了（</w:t>
      </w:r>
      <w:r>
        <w:rPr>
          <w:sz w:val="21"/>
          <w:szCs w:val="21"/>
        </w:rPr>
        <w:t xml:space="preserve">    </w:t>
      </w:r>
      <w:r>
        <w:rPr>
          <w:rFonts w:ascii="宋体" w:hAnsi="宋体" w:eastAsia="宋体" w:cs="宋体"/>
          <w:sz w:val="21"/>
          <w:szCs w:val="21"/>
        </w:rPr>
        <w:t>）</w:t>
      </w:r>
    </w:p>
    <w:p w14:paraId="3C8306A8">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重构统治秩序</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限制贵族特权</w:t>
      </w:r>
    </w:p>
    <w:p w14:paraId="4C085F54">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以德行教化民众</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打破宗法血缘关系</w:t>
      </w:r>
    </w:p>
    <w:p w14:paraId="379D23A6">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759CB6CC">
      <w:pPr>
        <w:widowControl w:val="0"/>
        <w:spacing w:before="0" w:after="0" w:line="360" w:lineRule="auto"/>
        <w:jc w:val="both"/>
        <w:rPr>
          <w:sz w:val="21"/>
          <w:szCs w:val="21"/>
        </w:rPr>
      </w:pPr>
      <w:r>
        <w:rPr>
          <w:rFonts w:ascii="宋体" w:hAnsi="宋体" w:eastAsia="宋体" w:cs="宋体"/>
          <w:color w:val="2E75B6"/>
          <w:sz w:val="21"/>
          <w:szCs w:val="21"/>
        </w:rPr>
        <w:t>【解析】</w:t>
      </w:r>
    </w:p>
    <w:p w14:paraId="7EB478D9">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目的题。据本题时间信息可知准确时空是：西周和春秋战国（中国）。据材料可知，西周时期，社会秩序相对稳定，诸侯国在遵循周礼的同时尊重当地风俗。而到了春秋战国时期，社会动荡，诸侯争霸，各国为了在激烈的竞争中胜出，需要重构统治秩序以增强自身实力，变革礼制、移风易俗就是重要手段，通过这种方式来适应新的形势和需求，建立起更有利于自己统治的秩序，A项正确；限制贵族特权不是主要目的，主要目的是从整体上构建有利于自身的统治秩序，排除B项；以德行教化民众只是其中一个方面，不是主要出发点，排除C项；宗法血缘关系在中国古代社会中具有重要地位，变革礼制，移风易俗并不能打破宗法血缘关系，排除D项。故选A项。</w:t>
      </w:r>
      <w:r>
        <w:rPr>
          <w:strike w:val="0"/>
          <w:sz w:val="21"/>
          <w:szCs w:val="21"/>
          <w:u w:val="none"/>
        </w:rPr>
        <w:drawing>
          <wp:inline distT="0" distB="0" distL="114300" distR="114300">
            <wp:extent cx="28575" cy="28575"/>
            <wp:effectExtent l="0" t="0" r="0" b="0"/>
            <wp:docPr id="100011" name="图片 100011"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page number 0"/>
                    <pic:cNvPicPr>
                      <a:picLocks noChangeAspect="1"/>
                    </pic:cNvPicPr>
                  </pic:nvPicPr>
                  <pic:blipFill>
                    <a:blip r:embed="rId24"/>
                    <a:stretch>
                      <a:fillRect/>
                    </a:stretch>
                  </pic:blipFill>
                  <pic:spPr>
                    <a:xfrm>
                      <a:off x="0" y="0"/>
                      <a:ext cx="28575" cy="28575"/>
                    </a:xfrm>
                    <a:prstGeom prst="rect">
                      <a:avLst/>
                    </a:prstGeom>
                  </pic:spPr>
                </pic:pic>
              </a:graphicData>
            </a:graphic>
          </wp:inline>
        </w:drawing>
      </w:r>
    </w:p>
    <w:p w14:paraId="6C9C0D6A">
      <w:pPr>
        <w:sectPr>
          <w:type w:val="continuous"/>
          <w:pgSz w:w="11927" w:h="16875"/>
          <w:pgMar w:top="800" w:right="1120" w:bottom="540" w:left="1120" w:header="708" w:footer="708" w:gutter="0"/>
          <w:cols w:space="708" w:num="1"/>
          <w:docGrid w:linePitch="360" w:charSpace="0"/>
        </w:sectPr>
      </w:pPr>
    </w:p>
    <w:p w14:paraId="736FADDE">
      <w:pPr>
        <w:widowControl w:val="0"/>
        <w:spacing w:before="0" w:after="0" w:line="360" w:lineRule="auto"/>
        <w:rPr>
          <w:sz w:val="21"/>
          <w:szCs w:val="21"/>
        </w:rPr>
      </w:pPr>
      <w:r>
        <w:rPr>
          <w:sz w:val="21"/>
          <w:szCs w:val="21"/>
        </w:rPr>
        <w:t xml:space="preserve">3. </w:t>
      </w:r>
      <w:r>
        <w:rPr>
          <w:rFonts w:ascii="宋体" w:hAnsi="宋体" w:eastAsia="宋体" w:cs="宋体"/>
          <w:sz w:val="21"/>
          <w:szCs w:val="21"/>
        </w:rPr>
        <w:t>下表为《宋史·王猎传》中的相关记载。王猎的经历反映出宋代（</w:t>
      </w:r>
      <w:r>
        <w:rPr>
          <w:sz w:val="21"/>
          <w:szCs w:val="21"/>
        </w:rPr>
        <w:t xml:space="preserve">    </w:t>
      </w:r>
      <w:r>
        <w:rPr>
          <w:rFonts w:ascii="宋体" w:hAnsi="宋体" w:eastAsia="宋体" w:cs="宋体"/>
          <w:sz w:val="21"/>
          <w:szCs w:val="21"/>
        </w:rPr>
        <w:t>）</w:t>
      </w:r>
    </w:p>
    <w:tbl>
      <w:tblPr>
        <w:tblStyle w:val="4"/>
        <w:tblW w:w="6225"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6225"/>
      </w:tblGrid>
      <w:tr w14:paraId="0C274D9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6225" w:type="dxa"/>
            <w:noWrap w:val="0"/>
            <w:tcMar>
              <w:top w:w="76" w:type="dxa"/>
              <w:left w:w="120" w:type="dxa"/>
              <w:bottom w:w="76" w:type="dxa"/>
              <w:right w:w="120" w:type="dxa"/>
            </w:tcMar>
            <w:vAlign w:val="center"/>
          </w:tcPr>
          <w:p w14:paraId="392796EA">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王猎，字得之，长垣人。累应进士不第，乃治生积钱，既而叹曰：“此败吾志也。”悉以班（分发）诸亲族。庆历用兵，诏求遗逸，范仲淹荐之，得出身为永兴蓝田主薄。……</w:t>
            </w:r>
          </w:p>
        </w:tc>
      </w:tr>
    </w:tbl>
    <w:p w14:paraId="393AADAD">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士人价值取向发生变化</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传统观念制约阶层流动</w:t>
      </w:r>
    </w:p>
    <w:p w14:paraId="55EAB895">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商人政治地位得到提高</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经济发展影响选官方式</w:t>
      </w:r>
    </w:p>
    <w:p w14:paraId="72CBD095">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257DD930">
      <w:pPr>
        <w:widowControl w:val="0"/>
        <w:spacing w:before="0" w:after="0" w:line="360" w:lineRule="auto"/>
        <w:jc w:val="both"/>
        <w:rPr>
          <w:sz w:val="21"/>
          <w:szCs w:val="21"/>
        </w:rPr>
      </w:pPr>
      <w:r>
        <w:rPr>
          <w:rFonts w:ascii="宋体" w:hAnsi="宋体" w:eastAsia="宋体" w:cs="宋体"/>
          <w:color w:val="2E75B6"/>
          <w:sz w:val="21"/>
          <w:szCs w:val="21"/>
        </w:rPr>
        <w:t>【解析】</w:t>
      </w:r>
    </w:p>
    <w:p w14:paraId="6AAB44F1">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本质题。据本题时间信息可知准确时空是：宋代（中国）。据材料可知，王猎累应进士不第后选择治生积钱，而后又感叹这会败其志，虽然小有成就，最终在庆历用兵时因范仲淹推荐而出仕，这反映出宋代士人将入仕作为价值追求，屡次不中，被迫从商，后来仍主动放弃商人身份去谋求仕途，最终成为永兴蓝田主薄，说明传统的抑商观念制约了阶层流动，B项正确；王猎一心追求仕途，价值观念没有发生变化，排除A项；王猎主动放弃了商人去出仕，表明商人政治地位并没有得到提高，排除C项；宋代的主要选官方式是科举制，与经济发展关系不大，排除D项。故选B项。</w:t>
      </w:r>
    </w:p>
    <w:p w14:paraId="5C9C3A0F">
      <w:pPr>
        <w:widowControl w:val="0"/>
        <w:spacing w:before="0" w:after="0" w:line="360" w:lineRule="auto"/>
        <w:rPr>
          <w:sz w:val="21"/>
          <w:szCs w:val="21"/>
        </w:rPr>
      </w:pPr>
      <w:r>
        <w:rPr>
          <w:sz w:val="21"/>
          <w:szCs w:val="21"/>
        </w:rPr>
        <w:t xml:space="preserve">4. </w:t>
      </w:r>
      <w:r>
        <w:rPr>
          <w:rFonts w:ascii="宋体" w:hAnsi="宋体" w:eastAsia="宋体" w:cs="宋体"/>
          <w:sz w:val="21"/>
          <w:szCs w:val="21"/>
        </w:rPr>
        <w:t>宋元时期，畜牧兽医专著记述最多的是马，并以医马、相马的书为多；明清时期，最主要的记述对象是牛，各种相牛、养牛、医牛的书占畜牧兽医专著总数的</w:t>
      </w:r>
      <w:r>
        <w:rPr>
          <w:sz w:val="21"/>
          <w:szCs w:val="21"/>
        </w:rPr>
        <w:t>50%</w:t>
      </w:r>
      <w:r>
        <w:rPr>
          <w:rFonts w:ascii="宋体" w:hAnsi="宋体" w:eastAsia="宋体" w:cs="宋体"/>
          <w:sz w:val="21"/>
          <w:szCs w:val="21"/>
        </w:rPr>
        <w:t>以上。这是因为明清时期（</w:t>
      </w:r>
      <w:r>
        <w:rPr>
          <w:sz w:val="21"/>
          <w:szCs w:val="21"/>
        </w:rPr>
        <w:t xml:space="preserve">    </w:t>
      </w:r>
      <w:r>
        <w:rPr>
          <w:rFonts w:ascii="宋体" w:hAnsi="宋体" w:eastAsia="宋体" w:cs="宋体"/>
          <w:sz w:val="21"/>
          <w:szCs w:val="21"/>
        </w:rPr>
        <w:t>）</w:t>
      </w:r>
    </w:p>
    <w:p w14:paraId="076DB70E">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政府强化了军事资源控制</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土地兼并进一步加剧</w:t>
      </w:r>
    </w:p>
    <w:p w14:paraId="197F18A7">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政治相对稳定促进了经济发展</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游牧文明与农耕文明交融加强</w:t>
      </w:r>
    </w:p>
    <w:p w14:paraId="642522C2">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505337B7">
      <w:pPr>
        <w:widowControl w:val="0"/>
        <w:spacing w:before="0" w:after="0" w:line="360" w:lineRule="auto"/>
        <w:jc w:val="both"/>
        <w:rPr>
          <w:sz w:val="21"/>
          <w:szCs w:val="21"/>
        </w:rPr>
      </w:pPr>
      <w:r>
        <w:rPr>
          <w:rFonts w:ascii="宋体" w:hAnsi="宋体" w:eastAsia="宋体" w:cs="宋体"/>
          <w:color w:val="2E75B6"/>
          <w:sz w:val="21"/>
          <w:szCs w:val="21"/>
        </w:rPr>
        <w:t>【解析】</w:t>
      </w:r>
    </w:p>
    <w:p w14:paraId="23821D0C">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原因题。据本题时间信息可知准确时空是：宋元和明清时期（中国）。据材料并结合所学可知，明清时期政治相对稳定，农业经济有所发展，人们对与农耕密切相关的牛关注逐渐增多，而减少了与农业关系不大的马的关注，导致关于牛的相牛、养牛、医牛等方面的专著增多，C项正确；与军事资源控制关系不大，材料主要强调的是与农业生产相关的牛，排除A项；土地兼并下，导致小农经济遭到破坏，因此人们可能会减少对牛的关注，与材料观点相反，排除B项；游牧文明与农耕文明交融加强不能解释在农耕生产中对牛的重视，排除D项。故选C项。</w:t>
      </w:r>
    </w:p>
    <w:p w14:paraId="51E54A2C">
      <w:pPr>
        <w:widowControl w:val="0"/>
        <w:spacing w:before="0" w:after="0" w:line="360" w:lineRule="auto"/>
        <w:rPr>
          <w:sz w:val="21"/>
          <w:szCs w:val="21"/>
        </w:rPr>
      </w:pPr>
      <w:r>
        <w:rPr>
          <w:sz w:val="21"/>
          <w:szCs w:val="21"/>
        </w:rPr>
        <w:t xml:space="preserve">5. </w:t>
      </w:r>
      <w:r>
        <w:rPr>
          <w:rFonts w:ascii="宋体" w:hAnsi="宋体" w:eastAsia="宋体" w:cs="宋体"/>
          <w:sz w:val="21"/>
          <w:szCs w:val="21"/>
        </w:rPr>
        <w:t>下表为</w:t>
      </w:r>
      <w:r>
        <w:rPr>
          <w:sz w:val="21"/>
          <w:szCs w:val="21"/>
        </w:rPr>
        <w:t>1846</w:t>
      </w:r>
      <w:r>
        <w:rPr>
          <w:rFonts w:ascii="宋体" w:hAnsi="宋体" w:eastAsia="宋体" w:cs="宋体"/>
          <w:sz w:val="21"/>
          <w:szCs w:val="21"/>
        </w:rPr>
        <w:t>—</w:t>
      </w:r>
      <w:r>
        <w:rPr>
          <w:sz w:val="21"/>
          <w:szCs w:val="21"/>
        </w:rPr>
        <w:t>1905</w:t>
      </w:r>
      <w:r>
        <w:rPr>
          <w:rFonts w:ascii="宋体" w:hAnsi="宋体" w:eastAsia="宋体" w:cs="宋体"/>
          <w:sz w:val="21"/>
          <w:szCs w:val="21"/>
        </w:rPr>
        <w:t>年英国建筑师在上海、汉口、天津、北京等四地的分布情况统计。这体现了（</w:t>
      </w:r>
      <w:r>
        <w:rPr>
          <w:sz w:val="21"/>
          <w:szCs w:val="21"/>
        </w:rPr>
        <w:t xml:space="preserve">    </w:t>
      </w:r>
      <w:r>
        <w:rPr>
          <w:rFonts w:ascii="宋体" w:hAnsi="宋体" w:eastAsia="宋体" w:cs="宋体"/>
          <w:sz w:val="21"/>
          <w:szCs w:val="21"/>
        </w:rPr>
        <w:t>）</w:t>
      </w:r>
    </w:p>
    <w:tbl>
      <w:tblPr>
        <w:tblStyle w:val="4"/>
        <w:tblW w:w="0" w:type="auto"/>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1323"/>
        <w:gridCol w:w="660"/>
        <w:gridCol w:w="660"/>
        <w:gridCol w:w="660"/>
        <w:gridCol w:w="660"/>
      </w:tblGrid>
      <w:tr w14:paraId="5F874AE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1323" w:type="dxa"/>
            <w:tcBorders>
              <w:right w:val="single" w:color="000000" w:sz="6" w:space="0"/>
            </w:tcBorders>
            <w:noWrap w:val="0"/>
            <w:tcMar>
              <w:top w:w="76" w:type="dxa"/>
              <w:left w:w="120" w:type="dxa"/>
              <w:bottom w:w="76" w:type="dxa"/>
              <w:right w:w="120" w:type="dxa"/>
            </w:tcMar>
            <w:vAlign w:val="center"/>
          </w:tcPr>
          <w:p w14:paraId="60CB6D96">
            <w:pPr>
              <w:widowControl w:val="0"/>
              <w:spacing w:before="0" w:after="0" w:line="360" w:lineRule="auto"/>
              <w:jc w:val="right"/>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城市</w:t>
            </w:r>
          </w:p>
        </w:tc>
        <w:tc>
          <w:tcPr>
            <w:tcBorders>
              <w:left w:val="single" w:color="000000" w:sz="6" w:space="0"/>
              <w:right w:val="single" w:color="000000" w:sz="6" w:space="0"/>
            </w:tcBorders>
            <w:noWrap w:val="0"/>
            <w:tcMar>
              <w:top w:w="76" w:type="dxa"/>
              <w:left w:w="120" w:type="dxa"/>
              <w:bottom w:w="76" w:type="dxa"/>
              <w:right w:w="120" w:type="dxa"/>
            </w:tcMar>
            <w:vAlign w:val="center"/>
          </w:tcPr>
          <w:p w14:paraId="6EB1E84C">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上海</w:t>
            </w:r>
          </w:p>
        </w:tc>
        <w:tc>
          <w:tcPr>
            <w:tcBorders>
              <w:left w:val="single" w:color="000000" w:sz="6" w:space="0"/>
              <w:right w:val="single" w:color="000000" w:sz="6" w:space="0"/>
            </w:tcBorders>
            <w:noWrap w:val="0"/>
            <w:tcMar>
              <w:top w:w="76" w:type="dxa"/>
              <w:left w:w="120" w:type="dxa"/>
              <w:bottom w:w="76" w:type="dxa"/>
              <w:right w:w="120" w:type="dxa"/>
            </w:tcMar>
            <w:vAlign w:val="center"/>
          </w:tcPr>
          <w:p w14:paraId="58639717">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汉口</w:t>
            </w:r>
          </w:p>
        </w:tc>
        <w:tc>
          <w:tcPr>
            <w:tcBorders>
              <w:left w:val="single" w:color="000000" w:sz="6" w:space="0"/>
              <w:right w:val="single" w:color="000000" w:sz="6" w:space="0"/>
            </w:tcBorders>
            <w:noWrap w:val="0"/>
            <w:tcMar>
              <w:top w:w="76" w:type="dxa"/>
              <w:left w:w="120" w:type="dxa"/>
              <w:bottom w:w="76" w:type="dxa"/>
              <w:right w:w="120" w:type="dxa"/>
            </w:tcMar>
            <w:vAlign w:val="center"/>
          </w:tcPr>
          <w:p w14:paraId="33152CE0">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天津</w:t>
            </w:r>
          </w:p>
        </w:tc>
        <w:tc>
          <w:tcPr>
            <w:tcBorders>
              <w:left w:val="single" w:color="000000" w:sz="6" w:space="0"/>
            </w:tcBorders>
            <w:noWrap w:val="0"/>
            <w:tcMar>
              <w:top w:w="76" w:type="dxa"/>
              <w:left w:w="120" w:type="dxa"/>
              <w:bottom w:w="76" w:type="dxa"/>
              <w:right w:w="120" w:type="dxa"/>
            </w:tcMar>
            <w:vAlign w:val="center"/>
          </w:tcPr>
          <w:p w14:paraId="54546649">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北京</w:t>
            </w:r>
          </w:p>
        </w:tc>
      </w:tr>
    </w:tbl>
    <w:p w14:paraId="7E03FB0F">
      <w:pPr>
        <w:widowControl w:val="0"/>
        <w:spacing w:before="0" w:after="0"/>
        <w:jc w:val="both"/>
        <w:rPr>
          <w:sz w:val="0"/>
          <w:szCs w:val="0"/>
        </w:rPr>
      </w:pPr>
      <w:r>
        <w:rPr>
          <w:strike w:val="0"/>
          <w:sz w:val="0"/>
          <w:szCs w:val="0"/>
          <w:u w:val="none"/>
        </w:rPr>
        <w:drawing>
          <wp:inline distT="0" distB="0" distL="114300" distR="114300">
            <wp:extent cx="28575" cy="28575"/>
            <wp:effectExtent l="0" t="0" r="0" b="0"/>
            <wp:docPr id="100025" name="图片 100025"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page number 1"/>
                    <pic:cNvPicPr>
                      <a:picLocks noChangeAspect="1"/>
                    </pic:cNvPicPr>
                  </pic:nvPicPr>
                  <pic:blipFill>
                    <a:blip r:embed="rId24"/>
                    <a:stretch>
                      <a:fillRect/>
                    </a:stretch>
                  </pic:blipFill>
                  <pic:spPr>
                    <a:xfrm>
                      <a:off x="0" y="0"/>
                      <a:ext cx="28575" cy="28575"/>
                    </a:xfrm>
                    <a:prstGeom prst="rect">
                      <a:avLst/>
                    </a:prstGeom>
                  </pic:spPr>
                </pic:pic>
              </a:graphicData>
            </a:graphic>
          </wp:inline>
        </w:drawing>
      </w:r>
    </w:p>
    <w:p w14:paraId="5818ED72">
      <w:pPr>
        <w:sectPr>
          <w:headerReference r:id="rId3" w:type="default"/>
          <w:type w:val="continuous"/>
          <w:pgSz w:w="11927" w:h="16875"/>
          <w:pgMar w:top="800" w:right="1120" w:bottom="540" w:left="1120" w:header="708" w:footer="708" w:gutter="0"/>
          <w:cols w:space="708" w:num="1"/>
          <w:docGrid w:linePitch="360" w:charSpace="0"/>
        </w:sectPr>
      </w:pPr>
    </w:p>
    <w:tbl>
      <w:tblPr>
        <w:tblStyle w:val="4"/>
        <w:tblW w:w="0" w:type="auto"/>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1323"/>
        <w:gridCol w:w="692"/>
        <w:gridCol w:w="692"/>
        <w:gridCol w:w="692"/>
        <w:gridCol w:w="692"/>
      </w:tblGrid>
      <w:tr w14:paraId="2D3115F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1323" w:type="dxa"/>
            <w:tcBorders>
              <w:bottom w:val="single" w:color="000000" w:sz="6" w:space="0"/>
              <w:right w:val="single" w:color="000000" w:sz="6" w:space="0"/>
            </w:tcBorders>
            <w:noWrap w:val="0"/>
            <w:tcMar>
              <w:top w:w="76" w:type="dxa"/>
              <w:left w:w="120" w:type="dxa"/>
              <w:bottom w:w="76" w:type="dxa"/>
              <w:right w:w="120" w:type="dxa"/>
            </w:tcMar>
            <w:vAlign w:val="center"/>
          </w:tcPr>
          <w:p w14:paraId="7D40BFD4">
            <w:pPr>
              <w:widowControl w:val="0"/>
              <w:spacing w:before="0" w:after="0" w:line="360" w:lineRule="auto"/>
              <w:jc w:val="center"/>
              <w:rPr>
                <w:b w:val="0"/>
                <w:bCs w:val="0"/>
                <w:i w:val="0"/>
                <w:iCs w:val="0"/>
                <w:smallCaps w:val="0"/>
                <w:color w:val="000000"/>
                <w:sz w:val="21"/>
                <w:szCs w:val="21"/>
              </w:rPr>
            </w:pPr>
          </w:p>
          <w:p w14:paraId="164E8290">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人次</w:t>
            </w:r>
          </w:p>
          <w:p w14:paraId="41C83B47">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年份</w:t>
            </w:r>
          </w:p>
        </w:tc>
        <w:tc>
          <w:tcPr>
            <w:tcW w:w="692" w:type="dxa"/>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3D06B71">
            <w:pPr>
              <w:spacing w:before="0" w:after="0"/>
              <w:rPr>
                <w:b w:val="0"/>
                <w:bCs w:val="0"/>
                <w:i w:val="0"/>
                <w:iCs w:val="0"/>
                <w:smallCaps w:val="0"/>
                <w:color w:val="000000"/>
              </w:rPr>
            </w:pPr>
          </w:p>
        </w:tc>
        <w:tc>
          <w:tcPr>
            <w:tcW w:w="692" w:type="dxa"/>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2103970">
            <w:pPr>
              <w:spacing w:before="0" w:after="0"/>
              <w:rPr>
                <w:b w:val="0"/>
                <w:bCs w:val="0"/>
                <w:i w:val="0"/>
                <w:iCs w:val="0"/>
                <w:smallCaps w:val="0"/>
                <w:color w:val="000000"/>
              </w:rPr>
            </w:pPr>
          </w:p>
        </w:tc>
        <w:tc>
          <w:tcPr>
            <w:tcW w:w="692" w:type="dxa"/>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CBAB434">
            <w:pPr>
              <w:spacing w:before="0" w:after="0"/>
              <w:rPr>
                <w:b w:val="0"/>
                <w:bCs w:val="0"/>
                <w:i w:val="0"/>
                <w:iCs w:val="0"/>
                <w:smallCaps w:val="0"/>
                <w:color w:val="000000"/>
              </w:rPr>
            </w:pPr>
          </w:p>
        </w:tc>
        <w:tc>
          <w:tcPr>
            <w:tcW w:w="692" w:type="dxa"/>
            <w:tcBorders>
              <w:left w:val="single" w:color="000000" w:sz="6" w:space="0"/>
              <w:bottom w:val="single" w:color="000000" w:sz="6" w:space="0"/>
            </w:tcBorders>
            <w:noWrap w:val="0"/>
            <w:tcMar>
              <w:top w:w="76" w:type="dxa"/>
              <w:left w:w="120" w:type="dxa"/>
              <w:bottom w:w="76" w:type="dxa"/>
              <w:right w:w="120" w:type="dxa"/>
            </w:tcMar>
            <w:vAlign w:val="center"/>
          </w:tcPr>
          <w:p w14:paraId="594653F5">
            <w:pPr>
              <w:spacing w:before="0" w:after="0"/>
              <w:rPr>
                <w:b w:val="0"/>
                <w:bCs w:val="0"/>
                <w:i w:val="0"/>
                <w:iCs w:val="0"/>
                <w:smallCaps w:val="0"/>
                <w:color w:val="000000"/>
              </w:rPr>
            </w:pPr>
          </w:p>
        </w:tc>
      </w:tr>
      <w:tr w14:paraId="244C74C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1323" w:type="dxa"/>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F59046F">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1846—1860</w:t>
            </w:r>
          </w:p>
        </w:tc>
        <w:tc>
          <w:tcPr>
            <w:tcW w:w="692" w:type="dxa"/>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9BB90FC">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14</w:t>
            </w:r>
          </w:p>
        </w:tc>
        <w:tc>
          <w:tcPr>
            <w:tcW w:w="692" w:type="dxa"/>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81B8C5A">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3</w:t>
            </w:r>
          </w:p>
        </w:tc>
        <w:tc>
          <w:tcPr>
            <w:tcW w:w="692" w:type="dxa"/>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19AA12F">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w:t>
            </w:r>
          </w:p>
        </w:tc>
        <w:tc>
          <w:tcPr>
            <w:tcW w:w="692" w:type="dxa"/>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39D62EA6">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w:t>
            </w:r>
          </w:p>
        </w:tc>
      </w:tr>
      <w:tr w14:paraId="1958CEE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1323" w:type="dxa"/>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45E2116">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1861—1875</w:t>
            </w:r>
          </w:p>
        </w:tc>
        <w:tc>
          <w:tcPr>
            <w:tcW w:w="692" w:type="dxa"/>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43F36A8">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120</w:t>
            </w:r>
          </w:p>
        </w:tc>
        <w:tc>
          <w:tcPr>
            <w:tcW w:w="692" w:type="dxa"/>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38B8456">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19</w:t>
            </w:r>
          </w:p>
        </w:tc>
        <w:tc>
          <w:tcPr>
            <w:tcW w:w="692" w:type="dxa"/>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61267BE">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w:t>
            </w:r>
          </w:p>
        </w:tc>
        <w:tc>
          <w:tcPr>
            <w:tcW w:w="692" w:type="dxa"/>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4B3A96B5">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w:t>
            </w:r>
          </w:p>
        </w:tc>
      </w:tr>
      <w:tr w14:paraId="6BD9B1B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1323" w:type="dxa"/>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76271EA">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1876—1890</w:t>
            </w:r>
          </w:p>
        </w:tc>
        <w:tc>
          <w:tcPr>
            <w:tcW w:w="692" w:type="dxa"/>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21BD146">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193</w:t>
            </w:r>
          </w:p>
        </w:tc>
        <w:tc>
          <w:tcPr>
            <w:tcW w:w="692" w:type="dxa"/>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7E06567">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10</w:t>
            </w:r>
          </w:p>
        </w:tc>
        <w:tc>
          <w:tcPr>
            <w:tcW w:w="692" w:type="dxa"/>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0F69674">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2</w:t>
            </w:r>
          </w:p>
        </w:tc>
        <w:tc>
          <w:tcPr>
            <w:tcW w:w="692" w:type="dxa"/>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0990BC96">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w:t>
            </w:r>
          </w:p>
        </w:tc>
      </w:tr>
      <w:tr w14:paraId="1166773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1323" w:type="dxa"/>
            <w:tcBorders>
              <w:top w:val="single" w:color="000000" w:sz="6" w:space="0"/>
              <w:right w:val="single" w:color="000000" w:sz="6" w:space="0"/>
            </w:tcBorders>
            <w:noWrap w:val="0"/>
            <w:tcMar>
              <w:top w:w="76" w:type="dxa"/>
              <w:left w:w="120" w:type="dxa"/>
              <w:bottom w:w="76" w:type="dxa"/>
              <w:right w:w="120" w:type="dxa"/>
            </w:tcMar>
            <w:vAlign w:val="center"/>
          </w:tcPr>
          <w:p w14:paraId="5B6E565E">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1891—1905</w:t>
            </w:r>
          </w:p>
        </w:tc>
        <w:tc>
          <w:tcPr>
            <w:tcW w:w="692" w:type="dxa"/>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6030FC81">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353</w:t>
            </w:r>
          </w:p>
        </w:tc>
        <w:tc>
          <w:tcPr>
            <w:tcW w:w="692" w:type="dxa"/>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7CB6CF1E">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20</w:t>
            </w:r>
          </w:p>
        </w:tc>
        <w:tc>
          <w:tcPr>
            <w:tcW w:w="692" w:type="dxa"/>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5703803F">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67</w:t>
            </w:r>
          </w:p>
        </w:tc>
        <w:tc>
          <w:tcPr>
            <w:tcW w:w="692" w:type="dxa"/>
            <w:tcBorders>
              <w:top w:val="single" w:color="000000" w:sz="6" w:space="0"/>
              <w:left w:val="single" w:color="000000" w:sz="6" w:space="0"/>
            </w:tcBorders>
            <w:noWrap w:val="0"/>
            <w:tcMar>
              <w:top w:w="76" w:type="dxa"/>
              <w:left w:w="120" w:type="dxa"/>
              <w:bottom w:w="76" w:type="dxa"/>
              <w:right w:w="120" w:type="dxa"/>
            </w:tcMar>
            <w:vAlign w:val="center"/>
          </w:tcPr>
          <w:p w14:paraId="2EB8D531">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14</w:t>
            </w:r>
          </w:p>
        </w:tc>
      </w:tr>
    </w:tbl>
    <w:p w14:paraId="57191A90">
      <w:pPr>
        <w:widowControl w:val="0"/>
        <w:spacing w:before="0" w:after="0" w:line="360" w:lineRule="auto"/>
        <w:rPr>
          <w:sz w:val="21"/>
          <w:szCs w:val="21"/>
        </w:rPr>
      </w:pPr>
    </w:p>
    <w:p w14:paraId="0870C2BB">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晚清外交的不断退让</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英国势力范围的扩展</w:t>
      </w:r>
    </w:p>
    <w:p w14:paraId="22162BB3">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列强侵略方式的转变</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中西文化交流的深入</w:t>
      </w:r>
    </w:p>
    <w:p w14:paraId="6CBC3935">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3F9A3A09">
      <w:pPr>
        <w:widowControl w:val="0"/>
        <w:spacing w:before="0" w:after="0" w:line="360" w:lineRule="auto"/>
        <w:jc w:val="both"/>
        <w:rPr>
          <w:sz w:val="21"/>
          <w:szCs w:val="21"/>
        </w:rPr>
      </w:pPr>
      <w:r>
        <w:rPr>
          <w:rFonts w:ascii="宋体" w:hAnsi="宋体" w:eastAsia="宋体" w:cs="宋体"/>
          <w:color w:val="2E75B6"/>
          <w:sz w:val="21"/>
          <w:szCs w:val="21"/>
        </w:rPr>
        <w:t>【解析】</w:t>
      </w:r>
    </w:p>
    <w:p w14:paraId="48F866CE">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【详解】本题是单类型单项选择题。据本题主题干的设问词，可知这是本质题。据本题时间信息可知准确时空是：</w:t>
      </w:r>
      <w:r>
        <w:rPr>
          <w:sz w:val="21"/>
          <w:szCs w:val="21"/>
        </w:rPr>
        <w:t>1846—1905</w:t>
      </w:r>
      <w:r>
        <w:rPr>
          <w:rFonts w:ascii="宋体" w:hAnsi="宋体" w:eastAsia="宋体" w:cs="宋体"/>
          <w:sz w:val="21"/>
          <w:szCs w:val="21"/>
        </w:rPr>
        <w:t>年（中国）。据本题表格材料可知，从</w:t>
      </w:r>
      <w:r>
        <w:rPr>
          <w:sz w:val="21"/>
          <w:szCs w:val="21"/>
        </w:rPr>
        <w:t>1846</w:t>
      </w:r>
      <w:r>
        <w:rPr>
          <w:rFonts w:ascii="宋体" w:hAnsi="宋体" w:eastAsia="宋体" w:cs="宋体"/>
          <w:sz w:val="21"/>
          <w:szCs w:val="21"/>
        </w:rPr>
        <w:t>年到</w:t>
      </w:r>
      <w:r>
        <w:rPr>
          <w:sz w:val="21"/>
          <w:szCs w:val="21"/>
        </w:rPr>
        <w:t>1905</w:t>
      </w:r>
      <w:r>
        <w:rPr>
          <w:rFonts w:ascii="宋体" w:hAnsi="宋体" w:eastAsia="宋体" w:cs="宋体"/>
          <w:sz w:val="21"/>
          <w:szCs w:val="21"/>
        </w:rPr>
        <w:t>年，上海、汉口、天津、北京等四地英国建筑师的数量在不断地上涨，尤其是上海最为突出，其中建筑师的主要职能是进行建筑的设计等实践活动，体现了文化交流的不断深入，故体现了中西文化交流在不断地深入发展，</w:t>
      </w:r>
      <w:r>
        <w:rPr>
          <w:sz w:val="21"/>
          <w:szCs w:val="21"/>
        </w:rPr>
        <w:t>D</w:t>
      </w:r>
      <w:r>
        <w:rPr>
          <w:rFonts w:ascii="宋体" w:hAnsi="宋体" w:eastAsia="宋体" w:cs="宋体"/>
          <w:sz w:val="21"/>
          <w:szCs w:val="21"/>
        </w:rPr>
        <w:t>项正确；材料涉及的是建筑师数量的不断增多，体现了文化交流的深入，并不能具体体现晚清外交的具体情况，排除</w:t>
      </w:r>
      <w:r>
        <w:rPr>
          <w:sz w:val="21"/>
          <w:szCs w:val="21"/>
        </w:rPr>
        <w:t>A</w:t>
      </w:r>
      <w:r>
        <w:rPr>
          <w:rFonts w:ascii="宋体" w:hAnsi="宋体" w:eastAsia="宋体" w:cs="宋体"/>
          <w:sz w:val="21"/>
          <w:szCs w:val="21"/>
        </w:rPr>
        <w:t>项；英国的势力范围主要在长江流域，四个城市英国建筑师数量不断增长，并未体现英国势力范围的变化，排除</w:t>
      </w:r>
      <w:r>
        <w:rPr>
          <w:sz w:val="21"/>
          <w:szCs w:val="21"/>
        </w:rPr>
        <w:t>B</w:t>
      </w:r>
      <w:r>
        <w:rPr>
          <w:rFonts w:ascii="宋体" w:hAnsi="宋体" w:eastAsia="宋体" w:cs="宋体"/>
          <w:sz w:val="21"/>
          <w:szCs w:val="21"/>
        </w:rPr>
        <w:t>项；鸦片战争之后列强侵略方式主要是商品输出，直到甲午中日战争之后，列强侵略方式转变为资本输出，排除</w:t>
      </w:r>
      <w:r>
        <w:rPr>
          <w:sz w:val="21"/>
          <w:szCs w:val="21"/>
        </w:rPr>
        <w:t>C</w:t>
      </w:r>
      <w:r>
        <w:rPr>
          <w:rFonts w:ascii="宋体" w:hAnsi="宋体" w:eastAsia="宋体" w:cs="宋体"/>
          <w:sz w:val="21"/>
          <w:szCs w:val="21"/>
        </w:rPr>
        <w:t>项。故选</w:t>
      </w:r>
      <w:r>
        <w:rPr>
          <w:sz w:val="21"/>
          <w:szCs w:val="21"/>
        </w:rPr>
        <w:t>D</w:t>
      </w:r>
      <w:r>
        <w:rPr>
          <w:rFonts w:ascii="宋体" w:hAnsi="宋体" w:eastAsia="宋体" w:cs="宋体"/>
          <w:sz w:val="21"/>
          <w:szCs w:val="21"/>
        </w:rPr>
        <w:t>项。</w:t>
      </w:r>
    </w:p>
    <w:p w14:paraId="0E652892">
      <w:pPr>
        <w:widowControl w:val="0"/>
        <w:spacing w:before="0" w:after="0" w:line="360" w:lineRule="auto"/>
        <w:rPr>
          <w:sz w:val="21"/>
          <w:szCs w:val="21"/>
        </w:rPr>
      </w:pPr>
      <w:r>
        <w:rPr>
          <w:sz w:val="21"/>
          <w:szCs w:val="21"/>
        </w:rPr>
        <w:t>6. 1926</w:t>
      </w:r>
      <w:r>
        <w:rPr>
          <w:rFonts w:ascii="宋体" w:hAnsi="宋体" w:eastAsia="宋体" w:cs="宋体"/>
          <w:sz w:val="21"/>
          <w:szCs w:val="21"/>
        </w:rPr>
        <w:t>年</w:t>
      </w:r>
      <w:r>
        <w:rPr>
          <w:sz w:val="21"/>
          <w:szCs w:val="21"/>
        </w:rPr>
        <w:t>1</w:t>
      </w:r>
      <w:r>
        <w:rPr>
          <w:rFonts w:ascii="宋体" w:hAnsi="宋体" w:eastAsia="宋体" w:cs="宋体"/>
          <w:sz w:val="21"/>
          <w:szCs w:val="21"/>
        </w:rPr>
        <w:t>月，吴玉章在广州国民党二大期间的一次答词中说：民国元年的革命虽然成功，但所主张的不过是十八世纪法国式的革命，“拿百年前的旧方法，应付现在的新环境，当然是走不通的”。他强调的是（</w:t>
      </w:r>
      <w:r>
        <w:rPr>
          <w:sz w:val="21"/>
          <w:szCs w:val="21"/>
        </w:rPr>
        <w:t xml:space="preserve">    </w:t>
      </w:r>
      <w:r>
        <w:rPr>
          <w:rFonts w:ascii="宋体" w:hAnsi="宋体" w:eastAsia="宋体" w:cs="宋体"/>
          <w:sz w:val="21"/>
          <w:szCs w:val="21"/>
        </w:rPr>
        <w:t>）</w:t>
      </w:r>
    </w:p>
    <w:p w14:paraId="4B11B369">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工农群众的革命主力军作用</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创新革命理论的紧迫性</w:t>
      </w:r>
    </w:p>
    <w:p w14:paraId="10358A80">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需要吸取法国大革命的教训</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推进国民革命的必要性</w:t>
      </w:r>
    </w:p>
    <w:p w14:paraId="014F8FA1">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4575F1C4">
      <w:pPr>
        <w:widowControl w:val="0"/>
        <w:spacing w:before="0" w:after="0" w:line="360" w:lineRule="auto"/>
        <w:jc w:val="both"/>
        <w:rPr>
          <w:sz w:val="21"/>
          <w:szCs w:val="21"/>
        </w:rPr>
      </w:pPr>
      <w:r>
        <w:rPr>
          <w:rFonts w:ascii="宋体" w:hAnsi="宋体" w:eastAsia="宋体" w:cs="宋体"/>
          <w:color w:val="2E75B6"/>
          <w:sz w:val="21"/>
          <w:szCs w:val="21"/>
        </w:rPr>
        <w:t>【解析】</w:t>
      </w:r>
    </w:p>
    <w:p w14:paraId="18C9FECA">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【详解】本题是单类型单项选择题。据本题主题干的设问词，可知这是正向题。据本题时间信息可知准确时空是：</w:t>
      </w:r>
      <w:r>
        <w:rPr>
          <w:sz w:val="21"/>
          <w:szCs w:val="21"/>
        </w:rPr>
        <w:t>1926</w:t>
      </w:r>
      <w:r>
        <w:rPr>
          <w:rFonts w:ascii="宋体" w:hAnsi="宋体" w:eastAsia="宋体" w:cs="宋体"/>
          <w:sz w:val="21"/>
          <w:szCs w:val="21"/>
        </w:rPr>
        <w:t>年（中国）。据本题材料并结合所学可知，五四运动时期，吴玉章接受科学社会主义思想，</w:t>
      </w:r>
      <w:r>
        <w:rPr>
          <w:strike w:val="0"/>
          <w:sz w:val="21"/>
          <w:szCs w:val="21"/>
          <w:u w:val="none"/>
        </w:rPr>
        <w:drawing>
          <wp:inline distT="0" distB="0" distL="114300" distR="114300">
            <wp:extent cx="28575" cy="28575"/>
            <wp:effectExtent l="0" t="0" r="0" b="0"/>
            <wp:docPr id="100039" name="图片 100039"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page number 2"/>
                    <pic:cNvPicPr>
                      <a:picLocks noChangeAspect="1"/>
                    </pic:cNvPicPr>
                  </pic:nvPicPr>
                  <pic:blipFill>
                    <a:blip r:embed="rId24"/>
                    <a:stretch>
                      <a:fillRect/>
                    </a:stretch>
                  </pic:blipFill>
                  <pic:spPr>
                    <a:xfrm>
                      <a:off x="0" y="0"/>
                      <a:ext cx="28575" cy="28575"/>
                    </a:xfrm>
                    <a:prstGeom prst="rect">
                      <a:avLst/>
                    </a:prstGeom>
                  </pic:spPr>
                </pic:pic>
              </a:graphicData>
            </a:graphic>
          </wp:inline>
        </w:drawing>
      </w:r>
    </w:p>
    <w:p w14:paraId="656474F0">
      <w:pPr>
        <w:sectPr>
          <w:headerReference r:id="rId4" w:type="default"/>
          <w:type w:val="continuous"/>
          <w:pgSz w:w="11927" w:h="16875"/>
          <w:pgMar w:top="800" w:right="1120" w:bottom="540" w:left="1120" w:header="708" w:footer="708" w:gutter="0"/>
          <w:cols w:space="708" w:num="1"/>
          <w:docGrid w:linePitch="360" w:charSpace="0"/>
        </w:sectPr>
      </w:pPr>
    </w:p>
    <w:p w14:paraId="5462B76E">
      <w:pPr>
        <w:widowControl w:val="0"/>
        <w:spacing w:before="0" w:after="0" w:line="360" w:lineRule="auto"/>
        <w:rPr>
          <w:sz w:val="21"/>
          <w:szCs w:val="21"/>
        </w:rPr>
      </w:pPr>
      <w:r>
        <w:rPr>
          <w:rFonts w:ascii="宋体" w:hAnsi="宋体" w:eastAsia="宋体" w:cs="宋体"/>
          <w:sz w:val="21"/>
          <w:szCs w:val="21"/>
        </w:rPr>
        <w:t>在国民大革命期间参加革命活动。材料中强调是辛亥革命虽然成功了，但是其主张是建立资产阶级共和国，并且辛亥革命并未充分发挥人民群众的作用，所以强调充分发挥工农群众的革命主力军作用，</w:t>
      </w:r>
      <w:r>
        <w:rPr>
          <w:sz w:val="21"/>
          <w:szCs w:val="21"/>
        </w:rPr>
        <w:t>A</w:t>
      </w:r>
      <w:r>
        <w:rPr>
          <w:rFonts w:ascii="宋体" w:hAnsi="宋体" w:eastAsia="宋体" w:cs="宋体"/>
          <w:sz w:val="21"/>
          <w:szCs w:val="21"/>
        </w:rPr>
        <w:t>项正确；材料强调而是对辛亥革命的反思，新环境下应该怎么做的问题，并不涉及革命理论的创新，排除</w:t>
      </w:r>
      <w:r>
        <w:rPr>
          <w:sz w:val="21"/>
          <w:szCs w:val="21"/>
        </w:rPr>
        <w:t>B</w:t>
      </w:r>
      <w:r>
        <w:rPr>
          <w:rFonts w:ascii="宋体" w:hAnsi="宋体" w:eastAsia="宋体" w:cs="宋体"/>
          <w:sz w:val="21"/>
          <w:szCs w:val="21"/>
        </w:rPr>
        <w:t>项；材料论述的主要对象并不是法国大革命，排除</w:t>
      </w:r>
      <w:r>
        <w:rPr>
          <w:sz w:val="21"/>
          <w:szCs w:val="21"/>
        </w:rPr>
        <w:t>C</w:t>
      </w:r>
      <w:r>
        <w:rPr>
          <w:rFonts w:ascii="宋体" w:hAnsi="宋体" w:eastAsia="宋体" w:cs="宋体"/>
          <w:sz w:val="21"/>
          <w:szCs w:val="21"/>
        </w:rPr>
        <w:t>项；国民革命开始于</w:t>
      </w:r>
      <w:r>
        <w:rPr>
          <w:sz w:val="21"/>
          <w:szCs w:val="21"/>
        </w:rPr>
        <w:t>1924</w:t>
      </w:r>
      <w:r>
        <w:rPr>
          <w:rFonts w:ascii="宋体" w:hAnsi="宋体" w:eastAsia="宋体" w:cs="宋体"/>
          <w:sz w:val="21"/>
          <w:szCs w:val="21"/>
        </w:rPr>
        <w:t>年，时间不符合，排除</w:t>
      </w:r>
      <w:r>
        <w:rPr>
          <w:sz w:val="21"/>
          <w:szCs w:val="21"/>
        </w:rPr>
        <w:t>D</w:t>
      </w:r>
      <w:r>
        <w:rPr>
          <w:rFonts w:ascii="宋体" w:hAnsi="宋体" w:eastAsia="宋体" w:cs="宋体"/>
          <w:sz w:val="21"/>
          <w:szCs w:val="21"/>
        </w:rPr>
        <w:t>项。故选</w:t>
      </w:r>
      <w:r>
        <w:rPr>
          <w:sz w:val="21"/>
          <w:szCs w:val="21"/>
        </w:rPr>
        <w:t>A</w:t>
      </w:r>
      <w:r>
        <w:rPr>
          <w:rFonts w:ascii="宋体" w:hAnsi="宋体" w:eastAsia="宋体" w:cs="宋体"/>
          <w:sz w:val="21"/>
          <w:szCs w:val="21"/>
        </w:rPr>
        <w:t>项。</w:t>
      </w:r>
    </w:p>
    <w:p w14:paraId="62020CB0">
      <w:pPr>
        <w:widowControl w:val="0"/>
        <w:spacing w:before="0" w:after="0" w:line="360" w:lineRule="auto"/>
        <w:rPr>
          <w:sz w:val="21"/>
          <w:szCs w:val="21"/>
        </w:rPr>
      </w:pPr>
      <w:r>
        <w:rPr>
          <w:sz w:val="21"/>
          <w:szCs w:val="21"/>
        </w:rPr>
        <w:t xml:space="preserve">7. </w:t>
      </w:r>
      <w:r>
        <w:rPr>
          <w:rFonts w:ascii="宋体" w:hAnsi="宋体" w:eastAsia="宋体" w:cs="宋体"/>
          <w:sz w:val="21"/>
          <w:szCs w:val="21"/>
        </w:rPr>
        <w:t>在新民主主义革命实践中，中国共产党领导创办了</w:t>
      </w:r>
      <w:r>
        <w:rPr>
          <w:sz w:val="21"/>
          <w:szCs w:val="21"/>
        </w:rPr>
        <w:t>4500</w:t>
      </w:r>
      <w:r>
        <w:rPr>
          <w:rFonts w:ascii="宋体" w:hAnsi="宋体" w:eastAsia="宋体" w:cs="宋体"/>
          <w:sz w:val="21"/>
          <w:szCs w:val="21"/>
        </w:rPr>
        <w:t>余种报刊。这些报刊的命名在不同历史时期呈现出不同特征，使用了不同的关键词。在“红旗”“红色”“工人”“青年”等成为报刊命名高频用词的历史时期。中国共产党（</w:t>
      </w:r>
      <w:r>
        <w:rPr>
          <w:sz w:val="21"/>
          <w:szCs w:val="21"/>
        </w:rPr>
        <w:t xml:space="preserve">    </w:t>
      </w:r>
      <w:r>
        <w:rPr>
          <w:rFonts w:ascii="宋体" w:hAnsi="宋体" w:eastAsia="宋体" w:cs="宋体"/>
          <w:sz w:val="21"/>
          <w:szCs w:val="21"/>
        </w:rPr>
        <w:t>）</w:t>
      </w:r>
    </w:p>
    <w:p w14:paraId="7D1BDEE5">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确定了民主革命纲领</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形成了工农武装割据思想</w:t>
      </w:r>
    </w:p>
    <w:p w14:paraId="30444789">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制定了全面抗战路线</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提出工作重心向城市转移</w:t>
      </w:r>
    </w:p>
    <w:p w14:paraId="3D5D301E">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7B93288B">
      <w:pPr>
        <w:widowControl w:val="0"/>
        <w:spacing w:before="0" w:after="0" w:line="360" w:lineRule="auto"/>
        <w:jc w:val="both"/>
        <w:rPr>
          <w:sz w:val="21"/>
          <w:szCs w:val="21"/>
        </w:rPr>
      </w:pPr>
      <w:r>
        <w:rPr>
          <w:rFonts w:ascii="宋体" w:hAnsi="宋体" w:eastAsia="宋体" w:cs="宋体"/>
          <w:color w:val="2E75B6"/>
          <w:sz w:val="21"/>
          <w:szCs w:val="21"/>
        </w:rPr>
        <w:t>【解析】</w:t>
      </w:r>
    </w:p>
    <w:p w14:paraId="0D6F180E">
      <w:pPr>
        <w:widowControl w:val="0"/>
        <w:spacing w:before="0" w:after="0" w:line="360" w:lineRule="auto"/>
        <w:rPr>
          <w:sz w:val="21"/>
          <w:szCs w:val="21"/>
        </w:rPr>
      </w:pPr>
      <w:r>
        <w:rPr>
          <w:rFonts w:ascii="宋体" w:hAnsi="宋体" w:eastAsia="宋体" w:cs="宋体"/>
          <w:sz w:val="21"/>
          <w:szCs w:val="21"/>
        </w:rPr>
        <w:t>【详解】本题是单类型单项选择题。据本题次题干的设问词，可知这是影响题。据本题时间信息可知准确时空是：新民主主义革命时期的中国。据本题材料可知，在新民主主义革命实践中，中国共产党不同历史时期创办的报刊名字呈现出不同特征，但“红旗”“红色”“工人”“青年”等成为报刊命名高频用词，报刊名字实际上体现了中国共产党的民主革命纲领，党的最低纲领即党在民主革命阶段的纲领是：打倒军阀，建立国内和平；推翻国际帝国主义的压迫，达到中华民族的完全独立；统一中国为真正的民主共和国，符合题意，A项正确；工农武装割据思想、全面抗战路线、工作重心向城市转移都是中国共产党在不同时期根据党的民主革命纲领进行的路线调整，排除B、C、D三项。故选A项。</w:t>
      </w:r>
    </w:p>
    <w:p w14:paraId="05C15650">
      <w:pPr>
        <w:widowControl w:val="0"/>
        <w:spacing w:before="0" w:after="0" w:line="360" w:lineRule="auto"/>
        <w:rPr>
          <w:sz w:val="21"/>
          <w:szCs w:val="21"/>
        </w:rPr>
      </w:pPr>
      <w:r>
        <w:rPr>
          <w:sz w:val="21"/>
          <w:szCs w:val="21"/>
        </w:rPr>
        <w:t>8. 1979</w:t>
      </w:r>
      <w:r>
        <w:rPr>
          <w:rFonts w:ascii="宋体" w:hAnsi="宋体" w:eastAsia="宋体" w:cs="宋体"/>
          <w:sz w:val="21"/>
          <w:szCs w:val="21"/>
        </w:rPr>
        <w:t>年，中国科学院将办院方针概括为“侧重基础、侧重提高，为国民经济和国防建设服务”；</w:t>
      </w:r>
      <w:r>
        <w:rPr>
          <w:sz w:val="21"/>
          <w:szCs w:val="21"/>
        </w:rPr>
        <w:t>1984</w:t>
      </w:r>
      <w:r>
        <w:rPr>
          <w:rFonts w:ascii="宋体" w:hAnsi="宋体" w:eastAsia="宋体" w:cs="宋体"/>
          <w:sz w:val="21"/>
          <w:szCs w:val="21"/>
        </w:rPr>
        <w:t>年，提出的新办院方针是“大力加强应用研究，积极而有选择地参加发展工作，继续重视基础研究”。办院方针的调整旨在（</w:t>
      </w:r>
      <w:r>
        <w:rPr>
          <w:sz w:val="21"/>
          <w:szCs w:val="21"/>
        </w:rPr>
        <w:t xml:space="preserve">    </w:t>
      </w:r>
      <w:r>
        <w:rPr>
          <w:rFonts w:ascii="宋体" w:hAnsi="宋体" w:eastAsia="宋体" w:cs="宋体"/>
          <w:sz w:val="21"/>
          <w:szCs w:val="21"/>
        </w:rPr>
        <w:t>）</w:t>
      </w:r>
    </w:p>
    <w:p w14:paraId="5E527EEC">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服务国家经济建设大局</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提升自主创新能力</w:t>
      </w:r>
    </w:p>
    <w:p w14:paraId="06D974B6">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促进科学技术人才流动</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贯彻“科教兴国”战略</w:t>
      </w:r>
    </w:p>
    <w:p w14:paraId="6D141728">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216CF0B4">
      <w:pPr>
        <w:widowControl w:val="0"/>
        <w:spacing w:before="0" w:after="0" w:line="360" w:lineRule="auto"/>
        <w:jc w:val="both"/>
        <w:rPr>
          <w:sz w:val="21"/>
          <w:szCs w:val="21"/>
        </w:rPr>
      </w:pPr>
      <w:r>
        <w:rPr>
          <w:rFonts w:ascii="宋体" w:hAnsi="宋体" w:eastAsia="宋体" w:cs="宋体"/>
          <w:color w:val="2E75B6"/>
          <w:sz w:val="21"/>
          <w:szCs w:val="21"/>
        </w:rPr>
        <w:t>【解析】</w:t>
      </w:r>
    </w:p>
    <w:p w14:paraId="44198F00">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【详解】本题是单类型单项选择题。据本题主题干的设问词，可知这是目的题。据本题时间信息可知准确时空是：现代（中国）。根据材料可知，</w:t>
      </w:r>
      <w:r>
        <w:rPr>
          <w:sz w:val="21"/>
          <w:szCs w:val="21"/>
        </w:rPr>
        <w:t>1979</w:t>
      </w:r>
      <w:r>
        <w:rPr>
          <w:rFonts w:ascii="宋体" w:hAnsi="宋体" w:eastAsia="宋体" w:cs="宋体"/>
          <w:sz w:val="21"/>
          <w:szCs w:val="21"/>
        </w:rPr>
        <w:t>年，中国科学院将办院方针概括为“侧重基础、侧重提高，为国民经济和国防建设服务”，这表明当时中国正处于改革开放的初期，国家的工作重心转移到经济建设上来，因此办院方针调整为侧重基础研究和提高科研水平，以服务于国民经济和国防建设。到了</w:t>
      </w:r>
      <w:r>
        <w:rPr>
          <w:sz w:val="21"/>
          <w:szCs w:val="21"/>
        </w:rPr>
        <w:t>1984</w:t>
      </w:r>
      <w:r>
        <w:rPr>
          <w:rFonts w:ascii="宋体" w:hAnsi="宋体" w:eastAsia="宋体" w:cs="宋体"/>
          <w:sz w:val="21"/>
          <w:szCs w:val="21"/>
        </w:rPr>
        <w:t>年，随着中国特色社会主义建设的深入发展，中国科学院提出的新办院方针是“大力加强应用研究，积极</w:t>
      </w:r>
      <w:r>
        <w:rPr>
          <w:strike w:val="0"/>
          <w:sz w:val="21"/>
          <w:szCs w:val="21"/>
          <w:u w:val="none"/>
        </w:rPr>
        <w:drawing>
          <wp:inline distT="0" distB="0" distL="114300" distR="114300">
            <wp:extent cx="28575" cy="28575"/>
            <wp:effectExtent l="0" t="0" r="0" b="0"/>
            <wp:docPr id="136" name="图片 136"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6" descr="page number 3"/>
                    <pic:cNvPicPr>
                      <a:picLocks noChangeAspect="1"/>
                    </pic:cNvPicPr>
                  </pic:nvPicPr>
                  <pic:blipFill>
                    <a:blip r:embed="rId24"/>
                    <a:stretch>
                      <a:fillRect/>
                    </a:stretch>
                  </pic:blipFill>
                  <pic:spPr>
                    <a:xfrm>
                      <a:off x="0" y="0"/>
                      <a:ext cx="28575" cy="28575"/>
                    </a:xfrm>
                    <a:prstGeom prst="rect">
                      <a:avLst/>
                    </a:prstGeom>
                  </pic:spPr>
                </pic:pic>
              </a:graphicData>
            </a:graphic>
          </wp:inline>
        </w:drawing>
      </w:r>
    </w:p>
    <w:p w14:paraId="5CDCF8DA">
      <w:pPr>
        <w:sectPr>
          <w:headerReference r:id="rId5" w:type="default"/>
          <w:type w:val="continuous"/>
          <w:pgSz w:w="11927" w:h="16875"/>
          <w:pgMar w:top="800" w:right="1120" w:bottom="540" w:left="1120" w:header="708" w:footer="708" w:gutter="0"/>
          <w:cols w:space="708" w:num="1"/>
          <w:docGrid w:linePitch="360" w:charSpace="0"/>
        </w:sectPr>
      </w:pPr>
    </w:p>
    <w:p w14:paraId="56A56616">
      <w:pPr>
        <w:widowControl w:val="0"/>
        <w:spacing w:before="0" w:after="0" w:line="360" w:lineRule="auto"/>
        <w:rPr>
          <w:sz w:val="21"/>
          <w:szCs w:val="21"/>
        </w:rPr>
      </w:pPr>
      <w:r>
        <w:rPr>
          <w:rFonts w:ascii="宋体" w:hAnsi="宋体" w:eastAsia="宋体" w:cs="宋体"/>
          <w:sz w:val="21"/>
          <w:szCs w:val="21"/>
        </w:rPr>
        <w:t>而有选择地参加发展工作，继续重视基础研究”，这表明办院方针的调整旨在更好地服务国家经济建设大局，将科学研究与国家的现实需求相结合，</w:t>
      </w:r>
      <w:r>
        <w:rPr>
          <w:sz w:val="21"/>
          <w:szCs w:val="21"/>
        </w:rPr>
        <w:t>A</w:t>
      </w:r>
      <w:r>
        <w:rPr>
          <w:rFonts w:ascii="宋体" w:hAnsi="宋体" w:eastAsia="宋体" w:cs="宋体"/>
          <w:sz w:val="21"/>
          <w:szCs w:val="21"/>
        </w:rPr>
        <w:t>项正确；虽然提升自主创新能力是科研工作的一个重要方面，但不是这次办院方针调整的主要目的，排除</w:t>
      </w:r>
      <w:r>
        <w:rPr>
          <w:sz w:val="21"/>
          <w:szCs w:val="21"/>
        </w:rPr>
        <w:t>B</w:t>
      </w:r>
      <w:r>
        <w:rPr>
          <w:rFonts w:ascii="宋体" w:hAnsi="宋体" w:eastAsia="宋体" w:cs="宋体"/>
          <w:sz w:val="21"/>
          <w:szCs w:val="21"/>
        </w:rPr>
        <w:t>项；办院方针的调整主要关注的是科研方向和服务的对象，而不是人才的流动，排除</w:t>
      </w:r>
      <w:r>
        <w:rPr>
          <w:sz w:val="21"/>
          <w:szCs w:val="21"/>
        </w:rPr>
        <w:t>C</w:t>
      </w:r>
      <w:r>
        <w:rPr>
          <w:rFonts w:ascii="宋体" w:hAnsi="宋体" w:eastAsia="宋体" w:cs="宋体"/>
          <w:sz w:val="21"/>
          <w:szCs w:val="21"/>
        </w:rPr>
        <w:t>项；“科教兴国”战略是在</w:t>
      </w:r>
      <w:r>
        <w:rPr>
          <w:sz w:val="21"/>
          <w:szCs w:val="21"/>
        </w:rPr>
        <w:t>1995</w:t>
      </w:r>
      <w:r>
        <w:rPr>
          <w:rFonts w:ascii="宋体" w:hAnsi="宋体" w:eastAsia="宋体" w:cs="宋体"/>
          <w:sz w:val="21"/>
          <w:szCs w:val="21"/>
        </w:rPr>
        <w:t>年提出的，而办院方针的调整发生在</w:t>
      </w:r>
      <w:r>
        <w:rPr>
          <w:sz w:val="21"/>
          <w:szCs w:val="21"/>
        </w:rPr>
        <w:t>1979</w:t>
      </w:r>
      <w:r>
        <w:rPr>
          <w:rFonts w:ascii="宋体" w:hAnsi="宋体" w:eastAsia="宋体" w:cs="宋体"/>
          <w:sz w:val="21"/>
          <w:szCs w:val="21"/>
        </w:rPr>
        <w:t>年和</w:t>
      </w:r>
      <w:r>
        <w:rPr>
          <w:sz w:val="21"/>
          <w:szCs w:val="21"/>
        </w:rPr>
        <w:t>1984</w:t>
      </w:r>
      <w:r>
        <w:rPr>
          <w:rFonts w:ascii="宋体" w:hAnsi="宋体" w:eastAsia="宋体" w:cs="宋体"/>
          <w:sz w:val="21"/>
          <w:szCs w:val="21"/>
        </w:rPr>
        <w:t>年，因此</w:t>
      </w:r>
      <w:r>
        <w:rPr>
          <w:sz w:val="21"/>
          <w:szCs w:val="21"/>
        </w:rPr>
        <w:t>D</w:t>
      </w:r>
      <w:r>
        <w:rPr>
          <w:rFonts w:ascii="宋体" w:hAnsi="宋体" w:eastAsia="宋体" w:cs="宋体"/>
          <w:sz w:val="21"/>
          <w:szCs w:val="21"/>
        </w:rPr>
        <w:t>项与时间线不符，排除</w:t>
      </w:r>
      <w:r>
        <w:rPr>
          <w:sz w:val="21"/>
          <w:szCs w:val="21"/>
        </w:rPr>
        <w:t>D</w:t>
      </w:r>
      <w:r>
        <w:rPr>
          <w:rFonts w:ascii="宋体" w:hAnsi="宋体" w:eastAsia="宋体" w:cs="宋体"/>
          <w:sz w:val="21"/>
          <w:szCs w:val="21"/>
        </w:rPr>
        <w:t>项。故选</w:t>
      </w:r>
      <w:r>
        <w:rPr>
          <w:sz w:val="21"/>
          <w:szCs w:val="21"/>
        </w:rPr>
        <w:t>A</w:t>
      </w:r>
      <w:r>
        <w:rPr>
          <w:rFonts w:ascii="宋体" w:hAnsi="宋体" w:eastAsia="宋体" w:cs="宋体"/>
          <w:sz w:val="21"/>
          <w:szCs w:val="21"/>
        </w:rPr>
        <w:t>项。</w:t>
      </w:r>
    </w:p>
    <w:p w14:paraId="4A4E11D2">
      <w:pPr>
        <w:widowControl w:val="0"/>
        <w:spacing w:before="0" w:after="0" w:line="360" w:lineRule="auto"/>
        <w:rPr>
          <w:sz w:val="21"/>
          <w:szCs w:val="21"/>
        </w:rPr>
      </w:pPr>
      <w:r>
        <w:rPr>
          <w:sz w:val="21"/>
          <w:szCs w:val="21"/>
        </w:rPr>
        <w:t>9. 20</w:t>
      </w:r>
      <w:r>
        <w:rPr>
          <w:rFonts w:ascii="宋体" w:hAnsi="宋体" w:eastAsia="宋体" w:cs="宋体"/>
          <w:sz w:val="21"/>
          <w:szCs w:val="21"/>
        </w:rPr>
        <w:t>世纪</w:t>
      </w:r>
      <w:r>
        <w:rPr>
          <w:sz w:val="21"/>
          <w:szCs w:val="21"/>
        </w:rPr>
        <w:t>80</w:t>
      </w:r>
      <w:r>
        <w:rPr>
          <w:rFonts w:ascii="宋体" w:hAnsi="宋体" w:eastAsia="宋体" w:cs="宋体"/>
          <w:sz w:val="21"/>
          <w:szCs w:val="21"/>
        </w:rPr>
        <w:t>年代，邓小平多次表示，世界总人口约四分之一分布在苏联、西欧、北美、日本等地。“很难说这十一二亿人口的继续发展能够建筑在三十多亿人口的继续贫困的基础上”。中国的外交主张中与这种认识相契合的是（</w:t>
      </w:r>
      <w:r>
        <w:rPr>
          <w:sz w:val="21"/>
          <w:szCs w:val="21"/>
        </w:rPr>
        <w:t xml:space="preserve">    </w:t>
      </w:r>
      <w:r>
        <w:rPr>
          <w:rFonts w:ascii="宋体" w:hAnsi="宋体" w:eastAsia="宋体" w:cs="宋体"/>
          <w:sz w:val="21"/>
          <w:szCs w:val="21"/>
        </w:rPr>
        <w:t>）</w:t>
      </w:r>
    </w:p>
    <w:p w14:paraId="1111F5FF">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结伴而不结盟</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改善南北关系</w:t>
      </w:r>
    </w:p>
    <w:p w14:paraId="164A8849">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推进大国协调合作</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与周边国家共同发展</w:t>
      </w:r>
    </w:p>
    <w:p w14:paraId="374610CD">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16AC35C8">
      <w:pPr>
        <w:widowControl w:val="0"/>
        <w:spacing w:before="0" w:after="0" w:line="360" w:lineRule="auto"/>
        <w:jc w:val="both"/>
        <w:rPr>
          <w:sz w:val="21"/>
          <w:szCs w:val="21"/>
        </w:rPr>
      </w:pPr>
      <w:r>
        <w:rPr>
          <w:rFonts w:ascii="宋体" w:hAnsi="宋体" w:eastAsia="宋体" w:cs="宋体"/>
          <w:color w:val="2E75B6"/>
          <w:sz w:val="21"/>
          <w:szCs w:val="21"/>
        </w:rPr>
        <w:t>【解析】</w:t>
      </w:r>
    </w:p>
    <w:p w14:paraId="3E79F63F">
      <w:r>
        <w:rPr>
          <w:rFonts w:ascii="宋体" w:hAnsi="宋体" w:eastAsia="宋体" w:cs="宋体"/>
          <w:sz w:val="21"/>
          <w:szCs w:val="21"/>
        </w:rPr>
        <w:t>【详解】本题是单类型单项选择题。据本题主题干的设问词，可知这是正向题。据本题时间信息可知准确</w:t>
      </w:r>
    </w:p>
    <w:p w14:paraId="7CA50DB5">
      <w:pPr>
        <w:widowControl w:val="0"/>
        <w:spacing w:before="0" w:after="0" w:line="360" w:lineRule="auto"/>
        <w:rPr>
          <w:sz w:val="21"/>
          <w:szCs w:val="21"/>
        </w:rPr>
      </w:pPr>
      <w:r>
        <w:rPr>
          <w:rFonts w:ascii="宋体" w:hAnsi="宋体" w:eastAsia="宋体" w:cs="宋体"/>
          <w:sz w:val="21"/>
          <w:szCs w:val="21"/>
        </w:rPr>
        <w:t>时空是：20世纪80年代（中国）。根据材料“很难说这十一二亿人口的继续发展能够建筑在三十多亿人口的继续贫困的基础上”，也就是说邓小平认为今后发达国家的继续发展很难建立在剥削发展中国家上，这说明邓小平认为要改善发达国家和发展中国家的关系，也就是南北关系，B项正确；结伴而不结盟强调的是不与他国结盟，而是建立伙伴关系，与题意不符，排除A项；材料强调的是改善南北关系，而不是大国之间的关系，排除C项；材料强调的是改善南北关系，而不是与周边国家的关系，排除D项。故选B项。</w:t>
      </w:r>
    </w:p>
    <w:p w14:paraId="410E0275">
      <w:pPr>
        <w:widowControl w:val="0"/>
        <w:spacing w:before="0" w:after="0" w:line="360" w:lineRule="auto"/>
        <w:rPr>
          <w:sz w:val="21"/>
          <w:szCs w:val="21"/>
        </w:rPr>
      </w:pPr>
      <w:r>
        <w:rPr>
          <w:sz w:val="21"/>
          <w:szCs w:val="21"/>
        </w:rPr>
        <w:t xml:space="preserve">10. </w:t>
      </w:r>
      <w:r>
        <w:rPr>
          <w:rFonts w:ascii="宋体" w:hAnsi="宋体" w:eastAsia="宋体" w:cs="宋体"/>
          <w:sz w:val="21"/>
          <w:szCs w:val="21"/>
        </w:rPr>
        <w:t>左图为古埃及国王献给太阳神庙</w:t>
      </w:r>
      <w:r>
        <w:rPr>
          <w:strike w:val="0"/>
          <w:sz w:val="21"/>
          <w:szCs w:val="21"/>
          <w:u w:val="none"/>
        </w:rPr>
        <w:drawing>
          <wp:inline distT="0" distB="0" distL="114300" distR="114300">
            <wp:extent cx="133350" cy="180975"/>
            <wp:effectExtent l="0" t="0" r="0" b="8890"/>
            <wp:docPr id="100067" name="图片 100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pic:cNvPicPr>
                      <a:picLocks noChangeAspect="1"/>
                    </pic:cNvPicPr>
                  </pic:nvPicPr>
                  <pic:blipFill>
                    <a:blip r:embed="rId25"/>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大白陶罐；右图为</w:t>
      </w:r>
      <w:r>
        <w:rPr>
          <w:sz w:val="21"/>
          <w:szCs w:val="21"/>
        </w:rPr>
        <w:t>19</w:t>
      </w:r>
      <w:r>
        <w:rPr>
          <w:rFonts w:ascii="宋体" w:hAnsi="宋体" w:eastAsia="宋体" w:cs="宋体"/>
          <w:sz w:val="21"/>
          <w:szCs w:val="21"/>
        </w:rPr>
        <w:t>世纪北美印第安人达科他族首领水牛皮袍上的一份年表的片段。据此可知（</w:t>
      </w:r>
      <w:r>
        <w:rPr>
          <w:sz w:val="21"/>
          <w:szCs w:val="21"/>
        </w:rPr>
        <w:t xml:space="preserve">    </w:t>
      </w:r>
      <w:r>
        <w:rPr>
          <w:rFonts w:ascii="宋体" w:hAnsi="宋体" w:eastAsia="宋体" w:cs="宋体"/>
          <w:sz w:val="21"/>
          <w:szCs w:val="21"/>
        </w:rPr>
        <w:t>）</w:t>
      </w:r>
    </w:p>
    <w:tbl>
      <w:tblPr>
        <w:tblStyle w:val="4"/>
        <w:tblW w:w="6240"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2550"/>
        <w:gridCol w:w="3690"/>
      </w:tblGrid>
      <w:tr w14:paraId="0AF25D1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2550" w:type="dxa"/>
            <w:tcBorders>
              <w:right w:val="single" w:color="000000" w:sz="6" w:space="0"/>
            </w:tcBorders>
            <w:noWrap w:val="0"/>
            <w:tcMar>
              <w:top w:w="76" w:type="dxa"/>
              <w:left w:w="120" w:type="dxa"/>
              <w:bottom w:w="76" w:type="dxa"/>
              <w:right w:w="120" w:type="dxa"/>
            </w:tcMar>
            <w:vAlign w:val="center"/>
          </w:tcPr>
          <w:p w14:paraId="28676B74">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1095375" cy="1485900"/>
                  <wp:effectExtent l="0" t="0" r="9525" b="0"/>
                  <wp:docPr id="100069" name="图片 1000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图片 100069"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1095375" cy="1485900"/>
                          </a:xfrm>
                          <a:prstGeom prst="rect">
                            <a:avLst/>
                          </a:prstGeom>
                        </pic:spPr>
                      </pic:pic>
                    </a:graphicData>
                  </a:graphic>
                </wp:inline>
              </w:drawing>
            </w:r>
          </w:p>
          <w:p w14:paraId="3F6E881E">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陶罐上的短语“对抗并彻底击败北方之年”为国王奉献陶罐那一年的名称。</w:t>
            </w:r>
          </w:p>
        </w:tc>
        <w:tc>
          <w:tcPr>
            <w:tcW w:w="3690" w:type="dxa"/>
            <w:tcBorders>
              <w:left w:val="single" w:color="000000" w:sz="6" w:space="0"/>
            </w:tcBorders>
            <w:noWrap w:val="0"/>
            <w:tcMar>
              <w:top w:w="76" w:type="dxa"/>
              <w:left w:w="120" w:type="dxa"/>
              <w:bottom w:w="76" w:type="dxa"/>
              <w:right w:w="120" w:type="dxa"/>
            </w:tcMar>
            <w:vAlign w:val="center"/>
          </w:tcPr>
          <w:p w14:paraId="35276228">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1438275" cy="1047750"/>
                  <wp:effectExtent l="0" t="0" r="9525" b="0"/>
                  <wp:docPr id="100071" name="图片 1000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1" name="图片 100071"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1438275" cy="1047750"/>
                          </a:xfrm>
                          <a:prstGeom prst="rect">
                            <a:avLst/>
                          </a:prstGeom>
                        </pic:spPr>
                      </pic:pic>
                    </a:graphicData>
                  </a:graphic>
                </wp:inline>
              </w:drawing>
            </w:r>
          </w:p>
          <w:p w14:paraId="33867A36">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w:t>
            </w:r>
            <w:r>
              <w:rPr>
                <w:rFonts w:ascii="宋体" w:hAnsi="宋体" w:eastAsia="宋体" w:cs="宋体"/>
                <w:b w:val="0"/>
                <w:bCs w:val="0"/>
                <w:i w:val="0"/>
                <w:iCs w:val="0"/>
                <w:smallCaps w:val="0"/>
                <w:color w:val="000000"/>
                <w:sz w:val="21"/>
                <w:szCs w:val="21"/>
              </w:rPr>
              <w:t>“哮喘咳嗽年”，因这年哮喘病大流行而命名。</w:t>
            </w:r>
          </w:p>
          <w:p w14:paraId="7F18F9F9">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2</w:t>
            </w:r>
            <w:r>
              <w:rPr>
                <w:rFonts w:ascii="宋体" w:hAnsi="宋体" w:eastAsia="宋体" w:cs="宋体"/>
                <w:b w:val="0"/>
                <w:bCs w:val="0"/>
                <w:i w:val="0"/>
                <w:iCs w:val="0"/>
                <w:smallCaps w:val="0"/>
                <w:color w:val="000000"/>
                <w:sz w:val="21"/>
                <w:szCs w:val="21"/>
              </w:rPr>
              <w:t>“流星年”，因这年有很多流星出现而命名。</w:t>
            </w:r>
          </w:p>
          <w:p w14:paraId="147CE905">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3</w:t>
            </w:r>
            <w:r>
              <w:rPr>
                <w:rFonts w:ascii="宋体" w:hAnsi="宋体" w:eastAsia="宋体" w:cs="宋体"/>
                <w:b w:val="0"/>
                <w:bCs w:val="0"/>
                <w:i w:val="0"/>
                <w:iCs w:val="0"/>
                <w:smallCaps w:val="0"/>
                <w:color w:val="000000"/>
                <w:sz w:val="21"/>
                <w:szCs w:val="21"/>
              </w:rPr>
              <w:t>“和平年”，因这年两个部族达成和平协议而命名。</w:t>
            </w:r>
          </w:p>
        </w:tc>
      </w:tr>
    </w:tbl>
    <w:p w14:paraId="1A7DE46A">
      <w:pPr>
        <w:widowControl w:val="0"/>
        <w:spacing w:before="0" w:after="0"/>
        <w:jc w:val="both"/>
        <w:rPr>
          <w:sz w:val="0"/>
          <w:szCs w:val="0"/>
        </w:rPr>
      </w:pPr>
      <w:r>
        <w:rPr>
          <w:strike w:val="0"/>
          <w:sz w:val="0"/>
          <w:szCs w:val="0"/>
          <w:u w:val="none"/>
        </w:rPr>
        <w:drawing>
          <wp:inline distT="0" distB="0" distL="114300" distR="114300">
            <wp:extent cx="28575" cy="28575"/>
            <wp:effectExtent l="0" t="0" r="0" b="0"/>
            <wp:docPr id="100073" name="图片 100073"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图片 100073" descr="page number 4"/>
                    <pic:cNvPicPr>
                      <a:picLocks noChangeAspect="1"/>
                    </pic:cNvPicPr>
                  </pic:nvPicPr>
                  <pic:blipFill>
                    <a:blip r:embed="rId24"/>
                    <a:stretch>
                      <a:fillRect/>
                    </a:stretch>
                  </pic:blipFill>
                  <pic:spPr>
                    <a:xfrm>
                      <a:off x="0" y="0"/>
                      <a:ext cx="28575" cy="28575"/>
                    </a:xfrm>
                    <a:prstGeom prst="rect">
                      <a:avLst/>
                    </a:prstGeom>
                  </pic:spPr>
                </pic:pic>
              </a:graphicData>
            </a:graphic>
          </wp:inline>
        </w:drawing>
      </w:r>
    </w:p>
    <w:p w14:paraId="761391CD">
      <w:pPr>
        <w:sectPr>
          <w:type w:val="continuous"/>
          <w:pgSz w:w="11927" w:h="16875"/>
          <w:pgMar w:top="800" w:right="1120" w:bottom="540" w:left="1120" w:header="708" w:footer="708" w:gutter="0"/>
          <w:cols w:space="708" w:num="1"/>
          <w:docGrid w:linePitch="360" w:charSpace="0"/>
        </w:sectPr>
      </w:pPr>
    </w:p>
    <w:p w14:paraId="36E742B3">
      <w:pPr>
        <w:widowControl w:val="0"/>
        <w:spacing w:before="0" w:after="0" w:line="360" w:lineRule="auto"/>
        <w:rPr>
          <w:sz w:val="21"/>
          <w:szCs w:val="21"/>
        </w:rPr>
      </w:pPr>
    </w:p>
    <w:p w14:paraId="6A9B8CE1">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文明交流推动社会进步</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采用事件纪年具有普遍性</w:t>
      </w:r>
    </w:p>
    <w:p w14:paraId="3B2AAEF1">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人类社会经历了相同的发展阶段</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年名研究是了解历史的一种途径</w:t>
      </w:r>
    </w:p>
    <w:p w14:paraId="441552F8">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13AADC9D">
      <w:pPr>
        <w:widowControl w:val="0"/>
        <w:spacing w:before="0" w:after="0" w:line="360" w:lineRule="auto"/>
        <w:jc w:val="both"/>
        <w:rPr>
          <w:sz w:val="21"/>
          <w:szCs w:val="21"/>
        </w:rPr>
      </w:pPr>
      <w:r>
        <w:rPr>
          <w:rFonts w:ascii="宋体" w:hAnsi="宋体" w:eastAsia="宋体" w:cs="宋体"/>
          <w:color w:val="2E75B6"/>
          <w:sz w:val="21"/>
          <w:szCs w:val="21"/>
        </w:rPr>
        <w:t>【解析】</w:t>
      </w:r>
    </w:p>
    <w:p w14:paraId="51E77372">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正向题。据本题时间信息可知准确时空是：古代到近代（埃及和北美）。根据材料内容可知，古埃及国王献给太阳神庙的大白陶罐记录者当年的名称</w:t>
      </w:r>
      <w:r>
        <w:rPr>
          <w:sz w:val="21"/>
          <w:szCs w:val="21"/>
        </w:rPr>
        <w:t>——“</w:t>
      </w:r>
      <w:r>
        <w:rPr>
          <w:rFonts w:ascii="宋体" w:hAnsi="宋体" w:eastAsia="宋体" w:cs="宋体"/>
          <w:sz w:val="21"/>
          <w:szCs w:val="21"/>
        </w:rPr>
        <w:t>对抗并彻底击败北方之年</w:t>
      </w:r>
      <w:r>
        <w:rPr>
          <w:sz w:val="21"/>
          <w:szCs w:val="21"/>
        </w:rPr>
        <w:t>”</w:t>
      </w:r>
      <w:r>
        <w:rPr>
          <w:rFonts w:ascii="宋体" w:hAnsi="宋体" w:eastAsia="宋体" w:cs="宋体"/>
          <w:sz w:val="21"/>
          <w:szCs w:val="21"/>
        </w:rPr>
        <w:t>，北美印第安人达科他族首领水牛皮袍上的年表内容</w:t>
      </w:r>
      <w:r>
        <w:rPr>
          <w:sz w:val="21"/>
          <w:szCs w:val="21"/>
        </w:rPr>
        <w:t>——“</w:t>
      </w:r>
      <w:r>
        <w:rPr>
          <w:rFonts w:ascii="宋体" w:hAnsi="宋体" w:eastAsia="宋体" w:cs="宋体"/>
          <w:sz w:val="21"/>
          <w:szCs w:val="21"/>
        </w:rPr>
        <w:t>哮喘咳嗽年</w:t>
      </w:r>
      <w:r>
        <w:rPr>
          <w:sz w:val="21"/>
          <w:szCs w:val="21"/>
        </w:rPr>
        <w:t>”</w:t>
      </w:r>
      <w:r>
        <w:rPr>
          <w:rFonts w:ascii="宋体" w:hAnsi="宋体" w:eastAsia="宋体" w:cs="宋体"/>
          <w:sz w:val="21"/>
          <w:szCs w:val="21"/>
        </w:rPr>
        <w:t>；</w:t>
      </w:r>
      <w:r>
        <w:rPr>
          <w:sz w:val="21"/>
          <w:szCs w:val="21"/>
        </w:rPr>
        <w:t>“</w:t>
      </w:r>
      <w:r>
        <w:rPr>
          <w:rFonts w:ascii="宋体" w:hAnsi="宋体" w:eastAsia="宋体" w:cs="宋体"/>
          <w:sz w:val="21"/>
          <w:szCs w:val="21"/>
        </w:rPr>
        <w:t>流星年</w:t>
      </w:r>
      <w:r>
        <w:rPr>
          <w:sz w:val="21"/>
          <w:szCs w:val="21"/>
        </w:rPr>
        <w:t>”</w:t>
      </w:r>
      <w:r>
        <w:rPr>
          <w:rFonts w:ascii="宋体" w:hAnsi="宋体" w:eastAsia="宋体" w:cs="宋体"/>
          <w:sz w:val="21"/>
          <w:szCs w:val="21"/>
        </w:rPr>
        <w:t>；</w:t>
      </w:r>
      <w:r>
        <w:rPr>
          <w:sz w:val="21"/>
          <w:szCs w:val="21"/>
        </w:rPr>
        <w:t>“</w:t>
      </w:r>
      <w:r>
        <w:rPr>
          <w:rFonts w:ascii="宋体" w:hAnsi="宋体" w:eastAsia="宋体" w:cs="宋体"/>
          <w:sz w:val="21"/>
          <w:szCs w:val="21"/>
        </w:rPr>
        <w:t>和平年</w:t>
      </w:r>
      <w:r>
        <w:rPr>
          <w:sz w:val="21"/>
          <w:szCs w:val="21"/>
        </w:rPr>
        <w:t>”</w:t>
      </w:r>
      <w:r>
        <w:rPr>
          <w:rFonts w:ascii="宋体" w:hAnsi="宋体" w:eastAsia="宋体" w:cs="宋体"/>
          <w:sz w:val="21"/>
          <w:szCs w:val="21"/>
        </w:rPr>
        <w:t>，这些年名都记录了当年发生的主要大事，这说明年名研究是了解历史的一种途径，</w:t>
      </w:r>
      <w:r>
        <w:rPr>
          <w:sz w:val="21"/>
          <w:szCs w:val="21"/>
        </w:rPr>
        <w:t>D</w:t>
      </w:r>
      <w:r>
        <w:rPr>
          <w:rFonts w:ascii="宋体" w:hAnsi="宋体" w:eastAsia="宋体" w:cs="宋体"/>
          <w:sz w:val="21"/>
          <w:szCs w:val="21"/>
        </w:rPr>
        <w:t>项正确；材料主要强调的是年名与历史的关系，并未体现文明交流，排除</w:t>
      </w:r>
      <w:r>
        <w:rPr>
          <w:sz w:val="21"/>
          <w:szCs w:val="21"/>
        </w:rPr>
        <w:t>A</w:t>
      </w:r>
      <w:r>
        <w:rPr>
          <w:rFonts w:ascii="宋体" w:hAnsi="宋体" w:eastAsia="宋体" w:cs="宋体"/>
          <w:sz w:val="21"/>
          <w:szCs w:val="21"/>
        </w:rPr>
        <w:t>项；材料只展示了两个地区的两份材料，无法由此得出采用事件纪年具有普遍性，排除</w:t>
      </w:r>
      <w:r>
        <w:rPr>
          <w:sz w:val="21"/>
          <w:szCs w:val="21"/>
        </w:rPr>
        <w:t>B</w:t>
      </w:r>
      <w:r>
        <w:rPr>
          <w:rFonts w:ascii="宋体" w:hAnsi="宋体" w:eastAsia="宋体" w:cs="宋体"/>
          <w:sz w:val="21"/>
          <w:szCs w:val="21"/>
        </w:rPr>
        <w:t>项；材料主要强调的是年名与历史的关系，无法得出人类社会经历了相同的发展阶段，排除</w:t>
      </w:r>
      <w:r>
        <w:rPr>
          <w:sz w:val="21"/>
          <w:szCs w:val="21"/>
        </w:rPr>
        <w:t>C</w:t>
      </w:r>
      <w:r>
        <w:rPr>
          <w:rFonts w:ascii="宋体" w:hAnsi="宋体" w:eastAsia="宋体" w:cs="宋体"/>
          <w:sz w:val="21"/>
          <w:szCs w:val="21"/>
        </w:rPr>
        <w:t>项。故选</w:t>
      </w:r>
      <w:r>
        <w:rPr>
          <w:sz w:val="21"/>
          <w:szCs w:val="21"/>
        </w:rPr>
        <w:t>D</w:t>
      </w:r>
      <w:r>
        <w:rPr>
          <w:rFonts w:ascii="宋体" w:hAnsi="宋体" w:eastAsia="宋体" w:cs="宋体"/>
          <w:sz w:val="21"/>
          <w:szCs w:val="21"/>
        </w:rPr>
        <w:t>项。</w:t>
      </w:r>
    </w:p>
    <w:p w14:paraId="68B129A2">
      <w:pPr>
        <w:widowControl w:val="0"/>
        <w:spacing w:before="0" w:after="0" w:line="360" w:lineRule="auto"/>
        <w:rPr>
          <w:sz w:val="21"/>
          <w:szCs w:val="21"/>
        </w:rPr>
      </w:pPr>
      <w:r>
        <w:rPr>
          <w:sz w:val="21"/>
          <w:szCs w:val="21"/>
        </w:rPr>
        <w:t>11. 13</w:t>
      </w:r>
      <w:r>
        <w:rPr>
          <w:rFonts w:ascii="宋体" w:hAnsi="宋体" w:eastAsia="宋体" w:cs="宋体"/>
          <w:sz w:val="21"/>
          <w:szCs w:val="21"/>
        </w:rPr>
        <w:t>世纪以前，西欧的行会具有明显的开放性，学徒、帮工不论家庭出身，只要合乎资格就可以成为行会成员；</w:t>
      </w:r>
      <w:r>
        <w:rPr>
          <w:sz w:val="21"/>
          <w:szCs w:val="21"/>
        </w:rPr>
        <w:t>13</w:t>
      </w:r>
      <w:r>
        <w:rPr>
          <w:rFonts w:ascii="宋体" w:hAnsi="宋体" w:eastAsia="宋体" w:cs="宋体"/>
          <w:sz w:val="21"/>
          <w:szCs w:val="21"/>
        </w:rPr>
        <w:t>世纪以后，掌握着资本和生产的富人阶层控制了行会，出身贫寒的学徒、帮工面临着更高的入会门槛，行会成员逐渐成为世袭身份。这反映出（</w:t>
      </w:r>
      <w:r>
        <w:rPr>
          <w:sz w:val="21"/>
          <w:szCs w:val="21"/>
        </w:rPr>
        <w:t xml:space="preserve">    </w:t>
      </w:r>
      <w:r>
        <w:rPr>
          <w:rFonts w:ascii="宋体" w:hAnsi="宋体" w:eastAsia="宋体" w:cs="宋体"/>
          <w:sz w:val="21"/>
          <w:szCs w:val="21"/>
        </w:rPr>
        <w:t>）</w:t>
      </w:r>
    </w:p>
    <w:p w14:paraId="7035741A">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技术革新速度加快</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市场竞争日益加剧</w:t>
      </w:r>
    </w:p>
    <w:p w14:paraId="76D17E7E">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城市管理体制逐步完善</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王权对城市的控制加强</w:t>
      </w:r>
    </w:p>
    <w:p w14:paraId="45ACC08F">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2C9501C3">
      <w:pPr>
        <w:widowControl w:val="0"/>
        <w:spacing w:before="0" w:after="0" w:line="360" w:lineRule="auto"/>
        <w:jc w:val="both"/>
        <w:rPr>
          <w:sz w:val="21"/>
          <w:szCs w:val="21"/>
        </w:rPr>
      </w:pPr>
      <w:r>
        <w:rPr>
          <w:rFonts w:ascii="宋体" w:hAnsi="宋体" w:eastAsia="宋体" w:cs="宋体"/>
          <w:color w:val="2E75B6"/>
          <w:sz w:val="21"/>
          <w:szCs w:val="21"/>
        </w:rPr>
        <w:t>【解析】</w:t>
      </w:r>
    </w:p>
    <w:p w14:paraId="23F56DC6">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【详解】本题是单类型单项选择题。据本题主题干的设问词，可知这是本质题。据本题时间信息可知准确时空是：13世纪前后（西欧）。根据材料内容可知，</w:t>
      </w:r>
      <w:r>
        <w:rPr>
          <w:sz w:val="21"/>
          <w:szCs w:val="21"/>
        </w:rPr>
        <w:t>13</w:t>
      </w:r>
      <w:r>
        <w:rPr>
          <w:rFonts w:ascii="宋体" w:hAnsi="宋体" w:eastAsia="宋体" w:cs="宋体"/>
          <w:sz w:val="21"/>
          <w:szCs w:val="21"/>
        </w:rPr>
        <w:t>世纪以前，西欧的行会具有开放性，普通人能成为会员，</w:t>
      </w:r>
      <w:r>
        <w:rPr>
          <w:sz w:val="21"/>
          <w:szCs w:val="21"/>
        </w:rPr>
        <w:t>13</w:t>
      </w:r>
      <w:r>
        <w:rPr>
          <w:rFonts w:ascii="宋体" w:hAnsi="宋体" w:eastAsia="宋体" w:cs="宋体"/>
          <w:sz w:val="21"/>
          <w:szCs w:val="21"/>
        </w:rPr>
        <w:t>世纪之后，富人阶层控制了行会，入会门槛提高，这是因为随着商品经济的发展，市场竞争日益加剧，普通人无法在竞争中胜出，掌握着资本和生产的富人阶层便逐渐控制了行会，</w:t>
      </w:r>
      <w:r>
        <w:rPr>
          <w:sz w:val="21"/>
          <w:szCs w:val="21"/>
        </w:rPr>
        <w:t>B</w:t>
      </w:r>
      <w:r>
        <w:rPr>
          <w:rFonts w:ascii="宋体" w:hAnsi="宋体" w:eastAsia="宋体" w:cs="宋体"/>
          <w:sz w:val="21"/>
          <w:szCs w:val="21"/>
        </w:rPr>
        <w:t>项正确；这一时期并没有明显的技术革新，排除</w:t>
      </w:r>
      <w:r>
        <w:rPr>
          <w:sz w:val="21"/>
          <w:szCs w:val="21"/>
        </w:rPr>
        <w:t>A</w:t>
      </w:r>
      <w:r>
        <w:rPr>
          <w:rFonts w:ascii="宋体" w:hAnsi="宋体" w:eastAsia="宋体" w:cs="宋体"/>
          <w:sz w:val="21"/>
          <w:szCs w:val="21"/>
        </w:rPr>
        <w:t>项；材料主要体现的行会准入门槛提高，与城市管理体制关系不大，排除</w:t>
      </w:r>
      <w:r>
        <w:rPr>
          <w:sz w:val="21"/>
          <w:szCs w:val="21"/>
        </w:rPr>
        <w:t>C</w:t>
      </w:r>
      <w:r>
        <w:rPr>
          <w:rFonts w:ascii="宋体" w:hAnsi="宋体" w:eastAsia="宋体" w:cs="宋体"/>
          <w:sz w:val="21"/>
          <w:szCs w:val="21"/>
        </w:rPr>
        <w:t>项；这一时期，中世纪城市实现城市自治，王权并未加强对城市的控制，排除</w:t>
      </w:r>
      <w:r>
        <w:rPr>
          <w:sz w:val="21"/>
          <w:szCs w:val="21"/>
        </w:rPr>
        <w:t>D</w:t>
      </w:r>
      <w:r>
        <w:rPr>
          <w:rFonts w:ascii="宋体" w:hAnsi="宋体" w:eastAsia="宋体" w:cs="宋体"/>
          <w:sz w:val="21"/>
          <w:szCs w:val="21"/>
        </w:rPr>
        <w:t>项。故选</w:t>
      </w:r>
      <w:r>
        <w:rPr>
          <w:sz w:val="21"/>
          <w:szCs w:val="21"/>
        </w:rPr>
        <w:t>B</w:t>
      </w:r>
      <w:r>
        <w:rPr>
          <w:rFonts w:ascii="宋体" w:hAnsi="宋体" w:eastAsia="宋体" w:cs="宋体"/>
          <w:sz w:val="21"/>
          <w:szCs w:val="21"/>
        </w:rPr>
        <w:t>项。</w:t>
      </w:r>
    </w:p>
    <w:p w14:paraId="68F2A056">
      <w:pPr>
        <w:widowControl w:val="0"/>
        <w:spacing w:before="0" w:after="0" w:line="360" w:lineRule="auto"/>
        <w:rPr>
          <w:sz w:val="21"/>
          <w:szCs w:val="21"/>
        </w:rPr>
      </w:pPr>
      <w:r>
        <w:rPr>
          <w:sz w:val="21"/>
          <w:szCs w:val="21"/>
        </w:rPr>
        <w:t xml:space="preserve">12. </w:t>
      </w:r>
      <w:r>
        <w:rPr>
          <w:rFonts w:ascii="宋体" w:hAnsi="宋体" w:eastAsia="宋体" w:cs="宋体"/>
          <w:sz w:val="21"/>
          <w:szCs w:val="21"/>
        </w:rPr>
        <w:t>在某些意义上，空想社会主义者是启蒙思想家的继承者，因为他们都相信犯罪和贪婪是罪恶环境的产物，也相信社会将趋于完美。但相比之下，空想社会主义者更为“激进”，这是因为他们把关注的重心转向了（</w:t>
      </w:r>
      <w:r>
        <w:rPr>
          <w:sz w:val="21"/>
          <w:szCs w:val="21"/>
        </w:rPr>
        <w:t xml:space="preserve">    </w:t>
      </w:r>
      <w:r>
        <w:rPr>
          <w:rFonts w:ascii="宋体" w:hAnsi="宋体" w:eastAsia="宋体" w:cs="宋体"/>
          <w:sz w:val="21"/>
          <w:szCs w:val="21"/>
        </w:rPr>
        <w:t>）</w:t>
      </w:r>
    </w:p>
    <w:p w14:paraId="253E2EC0">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经济规律</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理想社会</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社会正义</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阶级斗争</w:t>
      </w:r>
    </w:p>
    <w:p w14:paraId="4FFA0F54">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65CC04A9">
      <w:pPr>
        <w:widowControl w:val="0"/>
        <w:spacing w:before="0" w:after="0" w:line="360" w:lineRule="auto"/>
        <w:jc w:val="both"/>
        <w:rPr>
          <w:sz w:val="21"/>
          <w:szCs w:val="21"/>
        </w:rPr>
      </w:pPr>
      <w:r>
        <w:rPr>
          <w:rFonts w:ascii="宋体" w:hAnsi="宋体" w:eastAsia="宋体" w:cs="宋体"/>
          <w:color w:val="2E75B6"/>
          <w:sz w:val="21"/>
          <w:szCs w:val="21"/>
        </w:rPr>
        <w:t>【解析】</w:t>
      </w:r>
      <w:r>
        <w:rPr>
          <w:strike w:val="0"/>
          <w:sz w:val="21"/>
          <w:szCs w:val="21"/>
          <w:u w:val="none"/>
        </w:rPr>
        <w:drawing>
          <wp:inline distT="0" distB="0" distL="114300" distR="114300">
            <wp:extent cx="28575" cy="28575"/>
            <wp:effectExtent l="0" t="0" r="0" b="0"/>
            <wp:docPr id="137" name="图片 137"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7" descr="page number 5"/>
                    <pic:cNvPicPr>
                      <a:picLocks noChangeAspect="1"/>
                    </pic:cNvPicPr>
                  </pic:nvPicPr>
                  <pic:blipFill>
                    <a:blip r:embed="rId24"/>
                    <a:stretch>
                      <a:fillRect/>
                    </a:stretch>
                  </pic:blipFill>
                  <pic:spPr>
                    <a:xfrm>
                      <a:off x="0" y="0"/>
                      <a:ext cx="28575" cy="28575"/>
                    </a:xfrm>
                    <a:prstGeom prst="rect">
                      <a:avLst/>
                    </a:prstGeom>
                  </pic:spPr>
                </pic:pic>
              </a:graphicData>
            </a:graphic>
          </wp:inline>
        </w:drawing>
      </w:r>
    </w:p>
    <w:p w14:paraId="1AB8716A">
      <w:pPr>
        <w:sectPr>
          <w:headerReference r:id="rId6" w:type="default"/>
          <w:type w:val="continuous"/>
          <w:pgSz w:w="11927" w:h="16875"/>
          <w:pgMar w:top="800" w:right="1120" w:bottom="540" w:left="1120" w:header="708" w:footer="708" w:gutter="0"/>
          <w:cols w:space="708" w:num="1"/>
          <w:docGrid w:linePitch="360" w:charSpace="0"/>
        </w:sectPr>
      </w:pPr>
    </w:p>
    <w:p w14:paraId="68F1728C">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正向题。据本题时间信息可知准确时空是：近代（世界）。根据材料“因为他们都相信犯罪和贪婪是罪恶环境的产物，也相信社会将趋于完美。但相比之下，空想社会主义者更为‘激进’”可知，空想社会主义者不仅认识到启蒙思想家所构建的理想社会——资本主义制度的弊端——非理性非正义，而且还要进行改造，要构建理性和永恒正义的王国，这是相比启蒙思想的激进之处，C项正确；空想社会主义者并没有将重点转向经济规律，欧文的新和谐公社就违背了经济规律，排除A项；启蒙思想家和空想社会主义者都构建了理想社会，排除B项；空想社会主义者没有认识到无产阶级力量的重要性，没有强调阶级斗争，科学社会主义强调阶级斗争，排除D项。故选C项。</w:t>
      </w:r>
    </w:p>
    <w:p w14:paraId="4CF66E53">
      <w:pPr>
        <w:widowControl w:val="0"/>
        <w:spacing w:before="0" w:after="0" w:line="360" w:lineRule="auto"/>
        <w:rPr>
          <w:sz w:val="21"/>
          <w:szCs w:val="21"/>
        </w:rPr>
      </w:pPr>
      <w:r>
        <w:rPr>
          <w:sz w:val="21"/>
          <w:szCs w:val="21"/>
        </w:rPr>
        <w:t xml:space="preserve">13. </w:t>
      </w:r>
      <w:r>
        <w:rPr>
          <w:rFonts w:ascii="宋体" w:hAnsi="宋体" w:eastAsia="宋体" w:cs="宋体"/>
          <w:sz w:val="21"/>
          <w:szCs w:val="21"/>
        </w:rPr>
        <w:t>下图为</w:t>
      </w:r>
      <w:r>
        <w:rPr>
          <w:sz w:val="21"/>
          <w:szCs w:val="21"/>
        </w:rPr>
        <w:t>1918</w:t>
      </w:r>
      <w:r>
        <w:rPr>
          <w:rFonts w:ascii="宋体" w:hAnsi="宋体" w:eastAsia="宋体" w:cs="宋体"/>
          <w:sz w:val="21"/>
          <w:szCs w:val="21"/>
        </w:rPr>
        <w:t>年</w:t>
      </w:r>
      <w:r>
        <w:rPr>
          <w:sz w:val="21"/>
          <w:szCs w:val="21"/>
        </w:rPr>
        <w:t>10</w:t>
      </w:r>
      <w:r>
        <w:rPr>
          <w:rFonts w:ascii="宋体" w:hAnsi="宋体" w:eastAsia="宋体" w:cs="宋体"/>
          <w:sz w:val="21"/>
          <w:szCs w:val="21"/>
        </w:rPr>
        <w:t>月</w:t>
      </w:r>
      <w:r>
        <w:rPr>
          <w:sz w:val="21"/>
          <w:szCs w:val="21"/>
        </w:rPr>
        <w:t>23</w:t>
      </w:r>
      <w:r>
        <w:rPr>
          <w:rFonts w:ascii="宋体" w:hAnsi="宋体" w:eastAsia="宋体" w:cs="宋体"/>
          <w:sz w:val="21"/>
          <w:szCs w:val="21"/>
        </w:rPr>
        <w:t>日英国《笨拙》杂志刊登的一幅漫画《大兵与文官》。该漫画揭示出（</w:t>
      </w:r>
      <w:r>
        <w:rPr>
          <w:sz w:val="21"/>
          <w:szCs w:val="21"/>
        </w:rPr>
        <w:t xml:space="preserve">    </w:t>
      </w:r>
      <w:r>
        <w:rPr>
          <w:rFonts w:ascii="宋体" w:hAnsi="宋体" w:eastAsia="宋体" w:cs="宋体"/>
          <w:sz w:val="21"/>
          <w:szCs w:val="21"/>
        </w:rPr>
        <w:t>）</w:t>
      </w:r>
    </w:p>
    <w:tbl>
      <w:tblPr>
        <w:tblStyle w:val="4"/>
        <w:tblW w:w="5520"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5520"/>
      </w:tblGrid>
      <w:tr w14:paraId="265FAE9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520" w:type="dxa"/>
            <w:noWrap w:val="0"/>
            <w:tcMar>
              <w:top w:w="76" w:type="dxa"/>
              <w:left w:w="120" w:type="dxa"/>
              <w:bottom w:w="76" w:type="dxa"/>
              <w:right w:w="120" w:type="dxa"/>
            </w:tcMar>
            <w:vAlign w:val="center"/>
          </w:tcPr>
          <w:p w14:paraId="57AC1FA9">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962025" cy="1381125"/>
                  <wp:effectExtent l="0" t="0" r="9525" b="9525"/>
                  <wp:docPr id="100101" name="图片 1001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图片 100101"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962025" cy="1381125"/>
                          </a:xfrm>
                          <a:prstGeom prst="rect">
                            <a:avLst/>
                          </a:prstGeom>
                        </pic:spPr>
                      </pic:pic>
                    </a:graphicData>
                  </a:graphic>
                </wp:inline>
              </w:drawing>
            </w:r>
          </w:p>
          <w:p w14:paraId="5D7C75DC">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协约国军队总指挥福煦对法国总理克里孟梭、美国总统威尔逊和英国首相劳合·乔治说：先生们、如果你们要走这条路，小心踩雷！</w:t>
            </w:r>
          </w:p>
        </w:tc>
      </w:tr>
    </w:tbl>
    <w:p w14:paraId="69E8E937">
      <w:pPr>
        <w:widowControl w:val="0"/>
        <w:spacing w:before="0" w:after="0" w:line="360" w:lineRule="auto"/>
        <w:rPr>
          <w:sz w:val="21"/>
          <w:szCs w:val="21"/>
        </w:rPr>
      </w:pPr>
    </w:p>
    <w:p w14:paraId="1896C28B">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英国对德国的强烈担忧</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第一次世界大战的非正义性</w:t>
      </w:r>
    </w:p>
    <w:p w14:paraId="1DA1E065">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战后国际关系体系的脆弱</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英、法、美利益诉求的一致性</w:t>
      </w:r>
    </w:p>
    <w:p w14:paraId="1485F132">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5C9461A9">
      <w:pPr>
        <w:widowControl w:val="0"/>
        <w:spacing w:before="0" w:after="0" w:line="360" w:lineRule="auto"/>
        <w:jc w:val="both"/>
        <w:rPr>
          <w:sz w:val="21"/>
          <w:szCs w:val="21"/>
        </w:rPr>
      </w:pPr>
      <w:r>
        <w:rPr>
          <w:rFonts w:ascii="宋体" w:hAnsi="宋体" w:eastAsia="宋体" w:cs="宋体"/>
          <w:color w:val="2E75B6"/>
          <w:sz w:val="21"/>
          <w:szCs w:val="21"/>
        </w:rPr>
        <w:t>【解析】</w:t>
      </w:r>
    </w:p>
    <w:p w14:paraId="089D5EF1">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本质题。据本题时间信息可知准确时空是：1918年10月（世界）。根据漫画中信息可知，英法美要走一条求和之路，但协约国军事最高指挥官对英美法最高统治者说“如果你们要走这条路，小心踩雷”，表明这条求和之路是具有一定的危险性，以战止战，说明一战本身具有非正义性，B项正确；材料中福煦元帅是法国人，《笨拙》杂志虽然是英国杂志，但不能以此代表英国，没有体现英国对德国的强烈担忧，排除A项；1918年10月，当时一战尚未结束，更没有建立国际关系体系，排除C项；英、法、美利益诉求的一致性说法不符合史实，排除D项。故选B项。</w:t>
      </w:r>
    </w:p>
    <w:p w14:paraId="7362339C">
      <w:pPr>
        <w:widowControl w:val="0"/>
        <w:spacing w:before="0" w:after="0" w:line="360" w:lineRule="auto"/>
        <w:rPr>
          <w:sz w:val="21"/>
          <w:szCs w:val="21"/>
        </w:rPr>
      </w:pPr>
      <w:r>
        <w:rPr>
          <w:sz w:val="21"/>
          <w:szCs w:val="21"/>
        </w:rPr>
        <w:t xml:space="preserve">14. </w:t>
      </w:r>
      <w:r>
        <w:rPr>
          <w:rFonts w:ascii="宋体" w:hAnsi="宋体" w:eastAsia="宋体" w:cs="宋体"/>
          <w:sz w:val="21"/>
          <w:szCs w:val="21"/>
        </w:rPr>
        <w:t>下表为</w:t>
      </w:r>
      <w:r>
        <w:rPr>
          <w:sz w:val="21"/>
          <w:szCs w:val="21"/>
        </w:rPr>
        <w:t>1935</w:t>
      </w:r>
      <w:r>
        <w:rPr>
          <w:rFonts w:ascii="宋体" w:hAnsi="宋体" w:eastAsia="宋体" w:cs="宋体"/>
          <w:sz w:val="21"/>
          <w:szCs w:val="21"/>
        </w:rPr>
        <w:t>—</w:t>
      </w:r>
      <w:r>
        <w:rPr>
          <w:sz w:val="21"/>
          <w:szCs w:val="21"/>
        </w:rPr>
        <w:t>1950</w:t>
      </w:r>
      <w:r>
        <w:rPr>
          <w:rFonts w:ascii="宋体" w:hAnsi="宋体" w:eastAsia="宋体" w:cs="宋体"/>
          <w:sz w:val="21"/>
          <w:szCs w:val="21"/>
        </w:rPr>
        <w:t>年美国对外投资中私人投资和政府投资情况统计（单位：亿美元）。这两种投资的结构性变化反映了美国（</w:t>
      </w:r>
      <w:r>
        <w:rPr>
          <w:sz w:val="21"/>
          <w:szCs w:val="21"/>
        </w:rPr>
        <w:t xml:space="preserve">    </w:t>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00103" name="图片 100103"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图片 100103" descr="page number 6"/>
                    <pic:cNvPicPr>
                      <a:picLocks noChangeAspect="1"/>
                    </pic:cNvPicPr>
                  </pic:nvPicPr>
                  <pic:blipFill>
                    <a:blip r:embed="rId24"/>
                    <a:stretch>
                      <a:fillRect/>
                    </a:stretch>
                  </pic:blipFill>
                  <pic:spPr>
                    <a:xfrm>
                      <a:off x="0" y="0"/>
                      <a:ext cx="28575" cy="28575"/>
                    </a:xfrm>
                    <a:prstGeom prst="rect">
                      <a:avLst/>
                    </a:prstGeom>
                  </pic:spPr>
                </pic:pic>
              </a:graphicData>
            </a:graphic>
          </wp:inline>
        </w:drawing>
      </w:r>
    </w:p>
    <w:p w14:paraId="0A54EAED">
      <w:pPr>
        <w:sectPr>
          <w:headerReference r:id="rId7" w:type="default"/>
          <w:type w:val="continuous"/>
          <w:pgSz w:w="11927" w:h="16875"/>
          <w:pgMar w:top="800" w:right="1120" w:bottom="540" w:left="1120" w:header="708" w:footer="708" w:gutter="0"/>
          <w:cols w:space="708" w:num="1"/>
          <w:docGrid w:linePitch="360" w:charSpace="0"/>
        </w:sectPr>
      </w:pPr>
    </w:p>
    <w:tbl>
      <w:tblPr>
        <w:tblStyle w:val="4"/>
        <w:tblW w:w="0" w:type="auto"/>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660"/>
        <w:gridCol w:w="1080"/>
        <w:gridCol w:w="1080"/>
      </w:tblGrid>
      <w:tr w14:paraId="50BFAF6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bottom w:val="single" w:color="000000" w:sz="6" w:space="0"/>
              <w:right w:val="single" w:color="000000" w:sz="6" w:space="0"/>
            </w:tcBorders>
            <w:noWrap w:val="0"/>
            <w:tcMar>
              <w:top w:w="76" w:type="dxa"/>
              <w:left w:w="120" w:type="dxa"/>
              <w:bottom w:w="76" w:type="dxa"/>
              <w:right w:w="120" w:type="dxa"/>
            </w:tcMar>
            <w:vAlign w:val="center"/>
          </w:tcPr>
          <w:p w14:paraId="21368457">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类型</w:t>
            </w:r>
          </w:p>
          <w:p w14:paraId="5632B49A">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年份</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5EFD069">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私人投资</w:t>
            </w:r>
          </w:p>
        </w:tc>
        <w:tc>
          <w:tcPr>
            <w:tcBorders>
              <w:left w:val="single" w:color="000000" w:sz="6" w:space="0"/>
              <w:bottom w:val="single" w:color="000000" w:sz="6" w:space="0"/>
            </w:tcBorders>
            <w:noWrap w:val="0"/>
            <w:tcMar>
              <w:top w:w="76" w:type="dxa"/>
              <w:left w:w="120" w:type="dxa"/>
              <w:bottom w:w="76" w:type="dxa"/>
              <w:right w:w="120" w:type="dxa"/>
            </w:tcMar>
            <w:vAlign w:val="center"/>
          </w:tcPr>
          <w:p w14:paraId="731BB8E5">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政府投资</w:t>
            </w:r>
          </w:p>
        </w:tc>
      </w:tr>
      <w:tr w14:paraId="5D54388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796BC42">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1935</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BC5EC6E">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135</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7A4382CD">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101</w:t>
            </w:r>
          </w:p>
        </w:tc>
      </w:tr>
      <w:tr w14:paraId="18E0B03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9AB65A0">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1940</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E28A060">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122</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38008F70">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221</w:t>
            </w:r>
          </w:p>
        </w:tc>
      </w:tr>
      <w:tr w14:paraId="2969188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A25E541">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1945</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AEAA3E7">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147</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7B21C876">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222</w:t>
            </w:r>
          </w:p>
        </w:tc>
      </w:tr>
      <w:tr w14:paraId="2F22B88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right w:val="single" w:color="000000" w:sz="6" w:space="0"/>
            </w:tcBorders>
            <w:noWrap w:val="0"/>
            <w:tcMar>
              <w:top w:w="76" w:type="dxa"/>
              <w:left w:w="120" w:type="dxa"/>
              <w:bottom w:w="76" w:type="dxa"/>
              <w:right w:w="120" w:type="dxa"/>
            </w:tcMar>
            <w:vAlign w:val="center"/>
          </w:tcPr>
          <w:p w14:paraId="2950C1CF">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1950</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0DA1648B">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190</w:t>
            </w:r>
          </w:p>
        </w:tc>
        <w:tc>
          <w:tcPr>
            <w:tcBorders>
              <w:top w:val="single" w:color="000000" w:sz="6" w:space="0"/>
              <w:left w:val="single" w:color="000000" w:sz="6" w:space="0"/>
            </w:tcBorders>
            <w:noWrap w:val="0"/>
            <w:tcMar>
              <w:top w:w="76" w:type="dxa"/>
              <w:left w:w="120" w:type="dxa"/>
              <w:bottom w:w="76" w:type="dxa"/>
              <w:right w:w="120" w:type="dxa"/>
            </w:tcMar>
            <w:vAlign w:val="center"/>
          </w:tcPr>
          <w:p w14:paraId="4A46079C">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354</w:t>
            </w:r>
          </w:p>
        </w:tc>
      </w:tr>
    </w:tbl>
    <w:p w14:paraId="6FB1DC93">
      <w:pPr>
        <w:widowControl w:val="0"/>
        <w:spacing w:before="0" w:after="0" w:line="360" w:lineRule="auto"/>
        <w:rPr>
          <w:sz w:val="21"/>
          <w:szCs w:val="21"/>
        </w:rPr>
      </w:pPr>
    </w:p>
    <w:p w14:paraId="500C2F5C">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恢复经济发展的努力</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放松了对拉美的控制</w:t>
      </w:r>
    </w:p>
    <w:p w14:paraId="0EA65C4C">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跨国公司的迅速发展</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国家安全战略的调整</w:t>
      </w:r>
    </w:p>
    <w:p w14:paraId="1CCC12DC">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0A32402E">
      <w:pPr>
        <w:widowControl w:val="0"/>
        <w:spacing w:before="0" w:after="0" w:line="360" w:lineRule="auto"/>
        <w:jc w:val="both"/>
        <w:rPr>
          <w:sz w:val="21"/>
          <w:szCs w:val="21"/>
        </w:rPr>
      </w:pPr>
      <w:r>
        <w:rPr>
          <w:rFonts w:ascii="宋体" w:hAnsi="宋体" w:eastAsia="宋体" w:cs="宋体"/>
          <w:color w:val="2E75B6"/>
          <w:sz w:val="21"/>
          <w:szCs w:val="21"/>
        </w:rPr>
        <w:t>【解析】</w:t>
      </w:r>
    </w:p>
    <w:p w14:paraId="46D40D24">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本质题。据本题时间信息可知准确时空是：1935—1950年美国（美国）。根据表格可知，1935—1950年美国对外投资中私人投资和政府投资相比，私人投资比例下降，政府投资上升，这两种投资的结构性变化反映了美国国家安全战略的调整，即由二战反对法西斯到二战后与苏联冷战对峙，抢夺世界市场份额，称霸世界，D项正确；大危机后美国经济在1940年左右基本恢复到大萧条前水平，恢复经济发展说法能反映材料结构性投资变化的本质，排除A项；美国并没有放松对拉美地区的控制，反而加强了对拉美地区控制，视拉美地区为美国后院，排除B项；无论是政府投资还是私人投资，都会促进跨国公司的发展，不能反映这种结构性变化的本质，排除C项。故选D项。</w:t>
      </w:r>
    </w:p>
    <w:p w14:paraId="2E291227">
      <w:pPr>
        <w:widowControl w:val="0"/>
        <w:spacing w:before="0" w:after="0" w:line="360" w:lineRule="auto"/>
        <w:rPr>
          <w:sz w:val="21"/>
          <w:szCs w:val="21"/>
        </w:rPr>
      </w:pPr>
      <w:r>
        <w:rPr>
          <w:sz w:val="21"/>
          <w:szCs w:val="21"/>
        </w:rPr>
        <w:t xml:space="preserve">15. </w:t>
      </w:r>
      <w:r>
        <w:rPr>
          <w:rFonts w:ascii="宋体" w:hAnsi="宋体" w:eastAsia="宋体" w:cs="宋体"/>
          <w:sz w:val="21"/>
          <w:szCs w:val="21"/>
        </w:rPr>
        <w:t>下图为</w:t>
      </w:r>
      <w:r>
        <w:rPr>
          <w:sz w:val="21"/>
          <w:szCs w:val="21"/>
        </w:rPr>
        <w:t>20</w:t>
      </w:r>
      <w:r>
        <w:rPr>
          <w:rFonts w:ascii="宋体" w:hAnsi="宋体" w:eastAsia="宋体" w:cs="宋体"/>
          <w:sz w:val="21"/>
          <w:szCs w:val="21"/>
        </w:rPr>
        <w:t>世纪</w:t>
      </w:r>
      <w:r>
        <w:rPr>
          <w:sz w:val="21"/>
          <w:szCs w:val="21"/>
        </w:rPr>
        <w:t>50</w:t>
      </w:r>
      <w:r>
        <w:rPr>
          <w:rFonts w:ascii="宋体" w:hAnsi="宋体" w:eastAsia="宋体" w:cs="宋体"/>
          <w:sz w:val="21"/>
          <w:szCs w:val="21"/>
        </w:rPr>
        <w:t>年代后期和</w:t>
      </w:r>
      <w:r>
        <w:rPr>
          <w:sz w:val="21"/>
          <w:szCs w:val="21"/>
        </w:rPr>
        <w:t>80</w:t>
      </w:r>
      <w:r>
        <w:rPr>
          <w:rFonts w:ascii="宋体" w:hAnsi="宋体" w:eastAsia="宋体" w:cs="宋体"/>
          <w:sz w:val="21"/>
          <w:szCs w:val="21"/>
        </w:rPr>
        <w:t>年代前期英国四类商品进口额在进口总值中的占比示意图。导致占比变化的主要原因是（</w:t>
      </w:r>
      <w:r>
        <w:rPr>
          <w:sz w:val="21"/>
          <w:szCs w:val="21"/>
        </w:rPr>
        <w:t xml:space="preserve">    </w:t>
      </w:r>
      <w:r>
        <w:rPr>
          <w:rFonts w:ascii="宋体" w:hAnsi="宋体" w:eastAsia="宋体" w:cs="宋体"/>
          <w:sz w:val="21"/>
          <w:szCs w:val="21"/>
        </w:rPr>
        <w:t>）</w:t>
      </w:r>
    </w:p>
    <w:p w14:paraId="58820AD4">
      <w:pPr>
        <w:widowControl w:val="0"/>
        <w:spacing w:before="0" w:after="0" w:line="360" w:lineRule="auto"/>
        <w:rPr>
          <w:sz w:val="21"/>
          <w:szCs w:val="21"/>
        </w:rPr>
      </w:pPr>
      <w:r>
        <w:rPr>
          <w:strike w:val="0"/>
          <w:sz w:val="21"/>
          <w:szCs w:val="21"/>
          <w:u w:val="none"/>
        </w:rPr>
        <w:drawing>
          <wp:inline distT="0" distB="0" distL="114300" distR="114300">
            <wp:extent cx="3409950" cy="1390650"/>
            <wp:effectExtent l="0" t="0" r="0" b="0"/>
            <wp:docPr id="100117" name="图片 1001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7" name="图片 100117"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3409950" cy="1390650"/>
                    </a:xfrm>
                    <a:prstGeom prst="rect">
                      <a:avLst/>
                    </a:prstGeom>
                  </pic:spPr>
                </pic:pic>
              </a:graphicData>
            </a:graphic>
          </wp:inline>
        </w:drawing>
      </w:r>
    </w:p>
    <w:p w14:paraId="036A6FFC">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英国经济竞争力下降</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环境保护主义</w:t>
      </w:r>
      <w:r>
        <w:rPr>
          <w:strike w:val="0"/>
          <w:sz w:val="21"/>
          <w:szCs w:val="21"/>
          <w:u w:val="none"/>
        </w:rPr>
        <w:drawing>
          <wp:inline distT="0" distB="0" distL="114300" distR="114300">
            <wp:extent cx="133350" cy="180975"/>
            <wp:effectExtent l="0" t="0" r="0" b="8890"/>
            <wp:docPr id="100119" name="图片 10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9" name="图片 100119"/>
                    <pic:cNvPicPr>
                      <a:picLocks noChangeAspect="1"/>
                    </pic:cNvPicPr>
                  </pic:nvPicPr>
                  <pic:blipFill>
                    <a:blip r:embed="rId25"/>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兴起</w:t>
      </w:r>
    </w:p>
    <w:p w14:paraId="1769F6E9">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欧洲产业结构的调整</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经济全球化进程加快</w:t>
      </w:r>
    </w:p>
    <w:p w14:paraId="47B81523">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r>
        <w:rPr>
          <w:strike w:val="0"/>
          <w:sz w:val="21"/>
          <w:szCs w:val="21"/>
          <w:u w:val="none"/>
        </w:rPr>
        <w:drawing>
          <wp:inline distT="0" distB="0" distL="114300" distR="114300">
            <wp:extent cx="28575" cy="28575"/>
            <wp:effectExtent l="0" t="0" r="0" b="0"/>
            <wp:docPr id="100121" name="图片 100121"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1" name="图片 100121" descr="page number 7"/>
                    <pic:cNvPicPr>
                      <a:picLocks noChangeAspect="1"/>
                    </pic:cNvPicPr>
                  </pic:nvPicPr>
                  <pic:blipFill>
                    <a:blip r:embed="rId24"/>
                    <a:stretch>
                      <a:fillRect/>
                    </a:stretch>
                  </pic:blipFill>
                  <pic:spPr>
                    <a:xfrm>
                      <a:off x="0" y="0"/>
                      <a:ext cx="28575" cy="28575"/>
                    </a:xfrm>
                    <a:prstGeom prst="rect">
                      <a:avLst/>
                    </a:prstGeom>
                  </pic:spPr>
                </pic:pic>
              </a:graphicData>
            </a:graphic>
          </wp:inline>
        </w:drawing>
      </w:r>
    </w:p>
    <w:p w14:paraId="14E1C164">
      <w:pPr>
        <w:sectPr>
          <w:headerReference r:id="rId8" w:type="default"/>
          <w:type w:val="continuous"/>
          <w:pgSz w:w="11927" w:h="16875"/>
          <w:pgMar w:top="800" w:right="1120" w:bottom="540" w:left="1120" w:header="708" w:footer="708" w:gutter="0"/>
          <w:cols w:space="708" w:num="1"/>
          <w:docGrid w:linePitch="360" w:charSpace="0"/>
        </w:sectPr>
      </w:pPr>
    </w:p>
    <w:p w14:paraId="69BA5633">
      <w:pPr>
        <w:widowControl w:val="0"/>
        <w:spacing w:before="0" w:after="0" w:line="360" w:lineRule="auto"/>
        <w:jc w:val="both"/>
        <w:rPr>
          <w:sz w:val="21"/>
          <w:szCs w:val="21"/>
        </w:rPr>
      </w:pPr>
      <w:r>
        <w:rPr>
          <w:rFonts w:ascii="宋体" w:hAnsi="宋体" w:eastAsia="宋体" w:cs="宋体"/>
          <w:color w:val="2E75B6"/>
          <w:sz w:val="21"/>
          <w:szCs w:val="21"/>
        </w:rPr>
        <w:t>【解析】</w:t>
      </w:r>
    </w:p>
    <w:p w14:paraId="15099C6C">
      <w:pPr>
        <w:widowControl w:val="0"/>
        <w:spacing w:before="0" w:after="0" w:line="360" w:lineRule="auto"/>
        <w:rPr>
          <w:sz w:val="21"/>
          <w:szCs w:val="21"/>
        </w:rPr>
      </w:pPr>
      <w:r>
        <w:rPr>
          <w:rFonts w:ascii="宋体" w:hAnsi="宋体" w:eastAsia="宋体" w:cs="宋体"/>
          <w:sz w:val="21"/>
          <w:szCs w:val="21"/>
        </w:rPr>
        <w:t>【详解】本题是单类型单项选择题。据本题主题干的设问词，可知这是原因题。据本题时间信息可知准确时空是：20世纪50年代后期和80年代前期英国。根据图示饼状图可知，20世纪50年代后期和80年代前期英国四类商品进口额在进口总值中的占比中，制成品占比大量增加，原料进口比例大量减少，这说明二战后到80年代，英国经济发展相对衰落，经济竞争力下降，A项正确；制成品占比大量增加，原料进口比例大量减少，和环保保护主义无关，排除B项；欧洲产业结构的调整不是英国四类商品进口额在进口总值中的占比变化的根本原因，排除C项；经济全球化是指商品、服务、生产要素与信息跨国界流动的规模与形式不断增加，从而使各国间经济的相互依赖程度日益加深的趋势，材料中英国四类商品进口额在进口总值中的占比变化能反映出经济全球化发展，但这不是英国四类商品进口额在进口总值中的占比变化的原因，因果颠倒，排除D项。故选A项。</w:t>
      </w:r>
    </w:p>
    <w:p w14:paraId="428DEA19">
      <w:pPr>
        <w:widowControl w:val="0"/>
        <w:spacing w:before="0" w:after="0" w:line="286" w:lineRule="auto"/>
      </w:pPr>
      <w:r>
        <w:rPr>
          <w:rFonts w:ascii="宋体" w:hAnsi="宋体" w:eastAsia="宋体" w:cs="宋体"/>
          <w:b/>
          <w:bCs/>
        </w:rPr>
        <w:t>二、非选择题：本题共</w:t>
      </w:r>
      <w:r>
        <w:rPr>
          <w:b/>
          <w:bCs/>
        </w:rPr>
        <w:t>4</w:t>
      </w:r>
      <w:r>
        <w:rPr>
          <w:rFonts w:ascii="宋体" w:hAnsi="宋体" w:eastAsia="宋体" w:cs="宋体"/>
          <w:b/>
          <w:bCs/>
        </w:rPr>
        <w:t>小题，共</w:t>
      </w:r>
      <w:r>
        <w:rPr>
          <w:b/>
          <w:bCs/>
        </w:rPr>
        <w:t>55</w:t>
      </w:r>
      <w:r>
        <w:rPr>
          <w:rFonts w:ascii="宋体" w:hAnsi="宋体" w:eastAsia="宋体" w:cs="宋体"/>
          <w:b/>
          <w:bCs/>
        </w:rPr>
        <w:t>分。</w:t>
      </w:r>
    </w:p>
    <w:p w14:paraId="1BA3EF51">
      <w:pPr>
        <w:widowControl w:val="0"/>
        <w:spacing w:before="0" w:after="0" w:line="360" w:lineRule="auto"/>
        <w:rPr>
          <w:sz w:val="21"/>
          <w:szCs w:val="21"/>
        </w:rPr>
      </w:pPr>
      <w:r>
        <w:rPr>
          <w:sz w:val="21"/>
          <w:szCs w:val="21"/>
        </w:rPr>
        <w:t xml:space="preserve">16. </w:t>
      </w:r>
      <w:r>
        <w:rPr>
          <w:rFonts w:ascii="宋体" w:hAnsi="宋体" w:eastAsia="宋体" w:cs="宋体"/>
          <w:sz w:val="21"/>
          <w:szCs w:val="21"/>
        </w:rPr>
        <w:t>阅读材料，回答问题</w:t>
      </w:r>
      <w:r>
        <w:rPr>
          <w:strike w:val="0"/>
          <w:sz w:val="21"/>
          <w:szCs w:val="21"/>
          <w:u w:val="none"/>
        </w:rPr>
        <w:drawing>
          <wp:inline distT="0" distB="0" distL="114300" distR="114300">
            <wp:extent cx="133350" cy="76200"/>
            <wp:effectExtent l="0" t="0" r="0" b="0"/>
            <wp:docPr id="138"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8"/>
                    <pic:cNvPicPr>
                      <a:picLocks noChangeAspect="1"/>
                    </pic:cNvPicPr>
                  </pic:nvPicPr>
                  <pic:blipFill>
                    <a:blip r:embed="rId30"/>
                    <a:stretch>
                      <a:fillRect/>
                    </a:stretch>
                  </pic:blipFill>
                  <pic:spPr>
                    <a:xfrm>
                      <a:off x="0" y="0"/>
                      <a:ext cx="133350" cy="76200"/>
                    </a:xfrm>
                    <a:prstGeom prst="rect">
                      <a:avLst/>
                    </a:prstGeom>
                  </pic:spPr>
                </pic:pic>
              </a:graphicData>
            </a:graphic>
          </wp:inline>
        </w:drawing>
      </w:r>
    </w:p>
    <w:p w14:paraId="4E67E460">
      <w:pPr>
        <w:widowControl w:val="0"/>
        <w:spacing w:before="0" w:after="0" w:line="360" w:lineRule="auto"/>
        <w:jc w:val="center"/>
        <w:rPr>
          <w:sz w:val="21"/>
          <w:szCs w:val="21"/>
        </w:rPr>
      </w:pPr>
      <w:r>
        <w:rPr>
          <w:rFonts w:ascii="楷体" w:hAnsi="楷体" w:eastAsia="楷体" w:cs="楷体"/>
          <w:sz w:val="21"/>
          <w:szCs w:val="21"/>
        </w:rPr>
        <w:t>“江南经济区”的</w:t>
      </w:r>
    </w:p>
    <w:p w14:paraId="59B23EBA">
      <w:pPr>
        <w:widowControl w:val="0"/>
        <w:spacing w:before="0" w:after="0" w:line="360" w:lineRule="auto"/>
        <w:rPr>
          <w:sz w:val="21"/>
          <w:szCs w:val="21"/>
        </w:rPr>
      </w:pPr>
      <w:r>
        <w:rPr>
          <w:strike w:val="0"/>
          <w:sz w:val="21"/>
          <w:szCs w:val="21"/>
          <w:u w:val="none"/>
        </w:rPr>
        <w:drawing>
          <wp:inline distT="0" distB="0" distL="114300" distR="114300">
            <wp:extent cx="5191125" cy="2200275"/>
            <wp:effectExtent l="0" t="0" r="9525" b="9525"/>
            <wp:docPr id="139" name="图片 1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9"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5191125" cy="2200275"/>
                    </a:xfrm>
                    <a:prstGeom prst="rect">
                      <a:avLst/>
                    </a:prstGeom>
                  </pic:spPr>
                </pic:pic>
              </a:graphicData>
            </a:graphic>
          </wp:inline>
        </w:drawing>
      </w:r>
    </w:p>
    <w:p w14:paraId="4A4596A0">
      <w:pPr>
        <w:widowControl w:val="0"/>
        <w:spacing w:before="0" w:after="0" w:line="360" w:lineRule="auto"/>
        <w:jc w:val="right"/>
        <w:rPr>
          <w:sz w:val="21"/>
          <w:szCs w:val="21"/>
        </w:rPr>
      </w:pPr>
      <w:r>
        <w:rPr>
          <w:rFonts w:ascii="楷体" w:hAnsi="楷体" w:eastAsia="楷体" w:cs="楷体"/>
          <w:sz w:val="21"/>
          <w:szCs w:val="21"/>
        </w:rPr>
        <w:t>——据贺业钜《中国古代城市规划史》</w:t>
      </w:r>
    </w:p>
    <w:p w14:paraId="22FF1549">
      <w:pPr>
        <w:widowControl w:val="0"/>
        <w:spacing w:before="0" w:after="0" w:line="360" w:lineRule="auto"/>
        <w:rPr>
          <w:sz w:val="21"/>
          <w:szCs w:val="21"/>
        </w:rPr>
      </w:pPr>
      <w:r>
        <w:rPr>
          <w:rFonts w:ascii="宋体" w:hAnsi="宋体" w:eastAsia="宋体" w:cs="宋体"/>
          <w:sz w:val="21"/>
          <w:szCs w:val="21"/>
        </w:rPr>
        <w:t>概括说明“江南经济区”的变化体现了汉唐时期怎样的经济发展趋势。</w:t>
      </w:r>
    </w:p>
    <w:p w14:paraId="3601C1DA">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汉代，北方仍是全国经济重心，江南经济区表现为地广人稀、商业和城市经济落后。魏晋以来，江南地区得到开发，社会经济有了明显进步。隋唐时期，江南经济区范围进一步扩大。中心城市数量增多，分布范围广泛，形成明显的中心城市经济圈的市场网络。国内陆上、河流和海上的交通更为便捷，促进了农业、工商业的发展。南北联系也进一步增强。</w:t>
      </w:r>
    </w:p>
    <w:p w14:paraId="22E90E8C">
      <w:pPr>
        <w:widowControl w:val="0"/>
        <w:spacing w:before="0" w:after="0" w:line="360" w:lineRule="auto"/>
        <w:jc w:val="both"/>
        <w:rPr>
          <w:sz w:val="21"/>
          <w:szCs w:val="21"/>
        </w:rPr>
      </w:pPr>
      <w:r>
        <w:rPr>
          <w:rFonts w:ascii="宋体" w:hAnsi="宋体" w:eastAsia="宋体" w:cs="宋体"/>
          <w:color w:val="2E75B6"/>
          <w:sz w:val="21"/>
          <w:szCs w:val="21"/>
        </w:rPr>
        <w:t>【解析】</w:t>
      </w:r>
    </w:p>
    <w:p w14:paraId="4C84FEA0">
      <w:pPr>
        <w:widowControl w:val="0"/>
        <w:spacing w:before="0" w:after="0" w:line="360" w:lineRule="auto"/>
        <w:rPr>
          <w:sz w:val="21"/>
          <w:szCs w:val="21"/>
        </w:rPr>
      </w:pPr>
      <w:r>
        <w:rPr>
          <w:rFonts w:ascii="宋体" w:hAnsi="宋体" w:eastAsia="宋体" w:cs="宋体"/>
          <w:sz w:val="21"/>
          <w:szCs w:val="21"/>
        </w:rPr>
        <w:t>【详解】本题是特点类材料分析题。时空：汉唐时期（中国）。结合所学汉代北方仍是全国经济重心；据材料一“汉代江南经济示意图”可知，江南经济区表现为地广人稀、商业和城市经济落后。结合所学魏晋以来江南地区得到开发，社会经济明显进步。根据材料一“唐代江南经济区示意图”可知， 江南经济区</w:t>
      </w:r>
      <w:r>
        <w:rPr>
          <w:strike w:val="0"/>
          <w:sz w:val="21"/>
          <w:szCs w:val="21"/>
          <w:u w:val="none"/>
        </w:rPr>
        <w:drawing>
          <wp:inline distT="0" distB="0" distL="114300" distR="114300">
            <wp:extent cx="28575" cy="28575"/>
            <wp:effectExtent l="0" t="0" r="0" b="0"/>
            <wp:docPr id="100139" name="图片 100139"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图片 100139" descr="page number 8"/>
                    <pic:cNvPicPr>
                      <a:picLocks noChangeAspect="1"/>
                    </pic:cNvPicPr>
                  </pic:nvPicPr>
                  <pic:blipFill>
                    <a:blip r:embed="rId24"/>
                    <a:stretch>
                      <a:fillRect/>
                    </a:stretch>
                  </pic:blipFill>
                  <pic:spPr>
                    <a:xfrm>
                      <a:off x="0" y="0"/>
                      <a:ext cx="28575" cy="28575"/>
                    </a:xfrm>
                    <a:prstGeom prst="rect">
                      <a:avLst/>
                    </a:prstGeom>
                  </pic:spPr>
                </pic:pic>
              </a:graphicData>
            </a:graphic>
          </wp:inline>
        </w:drawing>
      </w:r>
    </w:p>
    <w:p w14:paraId="45CD7D51">
      <w:pPr>
        <w:sectPr>
          <w:headerReference r:id="rId9" w:type="default"/>
          <w:type w:val="continuous"/>
          <w:pgSz w:w="11927" w:h="16875"/>
          <w:pgMar w:top="800" w:right="1120" w:bottom="540" w:left="1120" w:header="708" w:footer="708" w:gutter="0"/>
          <w:cols w:space="708" w:num="1"/>
          <w:docGrid w:linePitch="360" w:charSpace="0"/>
        </w:sectPr>
      </w:pPr>
    </w:p>
    <w:p w14:paraId="59EE3C9A">
      <w:pPr>
        <w:widowControl w:val="0"/>
        <w:spacing w:before="0" w:after="0" w:line="360" w:lineRule="auto"/>
        <w:rPr>
          <w:sz w:val="21"/>
          <w:szCs w:val="21"/>
        </w:rPr>
      </w:pPr>
      <w:r>
        <w:rPr>
          <w:rFonts w:ascii="宋体" w:hAnsi="宋体" w:eastAsia="宋体" w:cs="宋体"/>
          <w:sz w:val="21"/>
          <w:szCs w:val="21"/>
        </w:rPr>
        <w:t>范围进一步扩大，中心城市数量增多，分布范围广泛，形成明显的中心城市经济圈的市场网络。国内陆上、河流和海上的交通更为便捷，促进了农业、工商业的发展。结合所学南北联系也进一步增强。</w:t>
      </w:r>
    </w:p>
    <w:p w14:paraId="3C24755F">
      <w:pPr>
        <w:widowControl w:val="0"/>
        <w:spacing w:before="0" w:after="0" w:line="360" w:lineRule="auto"/>
        <w:rPr>
          <w:sz w:val="21"/>
          <w:szCs w:val="21"/>
        </w:rPr>
      </w:pPr>
      <w:r>
        <w:rPr>
          <w:sz w:val="21"/>
          <w:szCs w:val="21"/>
        </w:rPr>
        <w:t xml:space="preserve">17. </w:t>
      </w:r>
      <w:r>
        <w:rPr>
          <w:rFonts w:ascii="宋体" w:hAnsi="宋体" w:eastAsia="宋体" w:cs="宋体"/>
          <w:sz w:val="21"/>
          <w:szCs w:val="21"/>
        </w:rPr>
        <w:t>阅读材料，回答问题。</w:t>
      </w:r>
    </w:p>
    <w:p w14:paraId="3B14C974">
      <w:pPr>
        <w:widowControl w:val="0"/>
        <w:spacing w:before="0" w:after="0" w:line="360" w:lineRule="auto"/>
        <w:ind w:firstLine="420"/>
        <w:jc w:val="center"/>
        <w:rPr>
          <w:sz w:val="21"/>
          <w:szCs w:val="21"/>
        </w:rPr>
      </w:pPr>
      <w:r>
        <w:rPr>
          <w:rFonts w:ascii="楷体" w:hAnsi="楷体" w:eastAsia="楷体" w:cs="楷体"/>
          <w:sz w:val="21"/>
          <w:szCs w:val="21"/>
        </w:rPr>
        <w:t>“鸦片战争”的时空之维</w:t>
      </w:r>
    </w:p>
    <w:p w14:paraId="19F805B5">
      <w:pPr>
        <w:widowControl w:val="0"/>
        <w:spacing w:before="0" w:after="0" w:line="360" w:lineRule="auto"/>
        <w:ind w:firstLine="420"/>
        <w:rPr>
          <w:sz w:val="21"/>
          <w:szCs w:val="21"/>
        </w:rPr>
      </w:pPr>
      <w:r>
        <w:rPr>
          <w:rFonts w:ascii="楷体" w:hAnsi="楷体" w:eastAsia="楷体" w:cs="楷体"/>
          <w:sz w:val="21"/>
          <w:szCs w:val="21"/>
        </w:rPr>
        <w:t>材料一  图为1936年《儿童杂志》刊载的《谈谈鸦片战争》的会话摘编。</w:t>
      </w:r>
    </w:p>
    <w:tbl>
      <w:tblPr>
        <w:tblStyle w:val="4"/>
        <w:tblW w:w="8220"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8220"/>
      </w:tblGrid>
      <w:tr w14:paraId="6142E95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8220" w:type="dxa"/>
            <w:noWrap w:val="0"/>
            <w:tcMar>
              <w:top w:w="76" w:type="dxa"/>
              <w:left w:w="120" w:type="dxa"/>
              <w:bottom w:w="76" w:type="dxa"/>
              <w:right w:w="120" w:type="dxa"/>
            </w:tcMar>
            <w:vAlign w:val="center"/>
          </w:tcPr>
          <w:p w14:paraId="430E8B70">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（大聪——哥哥，省立中学学生）</w:t>
            </w:r>
          </w:p>
          <w:p w14:paraId="0809617C">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（小敏——弟弟，育才小学学生）</w:t>
            </w:r>
          </w:p>
          <w:p w14:paraId="755CB645">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小敏：哥哥，我要问“鸦片战争”是怎样一回事?</w:t>
            </w:r>
          </w:p>
          <w:p w14:paraId="7866033C">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大聪：清朝的时候，鸦片运来得越来越多，现银流出也就跟着多了，好几个皇帝都下过禁烟的命令。</w:t>
            </w:r>
          </w:p>
          <w:p w14:paraId="586DD318">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小敏：那么，怎么会同英国人打起来的呢?</w:t>
            </w:r>
          </w:p>
          <w:p w14:paraId="471574CC">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大聪：皇帝叫林则徐到广东查禁鸦片，但英国商人不服从禁烟命令，不怪自己不好，反去求印度总督来救援。</w:t>
            </w:r>
          </w:p>
          <w:p w14:paraId="373F7981">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小敏：林则徐就吃了败仗?</w:t>
            </w:r>
          </w:p>
          <w:p w14:paraId="54A2DD5F">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大聪：不!打了胜仗，可后来英兵攻打浙江，破定海，封镇宁波，进逼天津，清朝皇帝不中用，怪林则徐闹出乱子来，把他革职，叫琦善去和英人议和。琦善这个人不会办事，英兵就再打进吴淞，进逼南京。清朝皇帝就和他们订立了一个丧权辱国的《南京条约》。</w:t>
            </w:r>
          </w:p>
          <w:p w14:paraId="60B39D2D">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小敏：……</w:t>
            </w:r>
          </w:p>
        </w:tc>
      </w:tr>
    </w:tbl>
    <w:p w14:paraId="555C03C3">
      <w:pPr>
        <w:widowControl w:val="0"/>
        <w:spacing w:before="0" w:after="0" w:line="360" w:lineRule="auto"/>
        <w:ind w:firstLine="420"/>
        <w:rPr>
          <w:sz w:val="21"/>
          <w:szCs w:val="21"/>
        </w:rPr>
      </w:pPr>
      <w:r>
        <w:rPr>
          <w:rFonts w:ascii="楷体" w:hAnsi="楷体" w:eastAsia="楷体" w:cs="楷体"/>
          <w:sz w:val="21"/>
          <w:szCs w:val="21"/>
        </w:rPr>
        <w:t>材料二  研究中国近代史有两个基本点：一是以“近代性”（科学与民主）区分近代史与晚清史；二是把中国近代史当作世界史，这两个点是我们看历史的“眼睛”，它是立体的、全方位的“眼睛”。</w:t>
      </w:r>
    </w:p>
    <w:p w14:paraId="26A57F45">
      <w:pPr>
        <w:widowControl w:val="0"/>
        <w:spacing w:before="0" w:after="0" w:line="360" w:lineRule="auto"/>
        <w:ind w:firstLine="420"/>
        <w:jc w:val="right"/>
        <w:rPr>
          <w:sz w:val="21"/>
          <w:szCs w:val="21"/>
        </w:rPr>
      </w:pPr>
      <w:r>
        <w:rPr>
          <w:rFonts w:ascii="楷体" w:hAnsi="楷体" w:eastAsia="楷体" w:cs="楷体"/>
          <w:sz w:val="21"/>
          <w:szCs w:val="21"/>
        </w:rPr>
        <w:t>——摘编自刘泽华主编《中国政治思想通史》</w:t>
      </w:r>
    </w:p>
    <w:p w14:paraId="24E395F3">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）大聪</w:t>
      </w:r>
      <w:r>
        <w:rPr>
          <w:strike w:val="0"/>
          <w:sz w:val="21"/>
          <w:szCs w:val="21"/>
          <w:u w:val="none"/>
        </w:rPr>
        <w:drawing>
          <wp:inline distT="0" distB="0" distL="114300" distR="114300">
            <wp:extent cx="133350" cy="180975"/>
            <wp:effectExtent l="0" t="0" r="0" b="8890"/>
            <wp:docPr id="100153" name="图片 100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3" name="图片 100153"/>
                    <pic:cNvPicPr>
                      <a:picLocks noChangeAspect="1"/>
                    </pic:cNvPicPr>
                  </pic:nvPicPr>
                  <pic:blipFill>
                    <a:blip r:embed="rId25"/>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讲述，会让小敏对“鸦片战争”形成怎样的认识</w:t>
      </w:r>
      <w:r>
        <w:rPr>
          <w:sz w:val="21"/>
          <w:szCs w:val="21"/>
        </w:rPr>
        <w:t>?</w:t>
      </w:r>
    </w:p>
    <w:p w14:paraId="3EB191D2">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）你认为应如何书写“鸦片战争”</w:t>
      </w:r>
      <w:r>
        <w:rPr>
          <w:sz w:val="21"/>
          <w:szCs w:val="21"/>
        </w:rPr>
        <w:t>?</w:t>
      </w:r>
      <w:r>
        <w:rPr>
          <w:rFonts w:ascii="宋体" w:hAnsi="宋体" w:eastAsia="宋体" w:cs="宋体"/>
          <w:sz w:val="21"/>
          <w:szCs w:val="21"/>
        </w:rPr>
        <w:t>说明理由。</w:t>
      </w:r>
    </w:p>
    <w:p w14:paraId="0610F102">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①鸦片战争爆发的原因是英国商人向中国走私鸦片导致白银大量外流，清政府决心禁烟遭到英国商人拒绝而引发英军侵略；②侵略者是来自印度殖民地的军队，印度总督支援英商而发动的战争。③这场战争中只有林则徐抵抗获胜，其余地方清军反击都失败。琦善是英军再次进攻的罪魁祸首。    </w:t>
      </w:r>
    </w:p>
    <w:p w14:paraId="0B6B6FD3">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）鸦片战争</w:t>
      </w:r>
      <w:r>
        <w:rPr>
          <w:strike w:val="0"/>
          <w:sz w:val="21"/>
          <w:szCs w:val="21"/>
          <w:u w:val="none"/>
        </w:rPr>
        <w:drawing>
          <wp:inline distT="0" distB="0" distL="114300" distR="114300">
            <wp:extent cx="133350" cy="180975"/>
            <wp:effectExtent l="0" t="0" r="0" b="8890"/>
            <wp:docPr id="100155" name="图片 100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5" name="图片 100155"/>
                    <pic:cNvPicPr>
                      <a:picLocks noChangeAspect="1"/>
                    </pic:cNvPicPr>
                  </pic:nvPicPr>
                  <pic:blipFill>
                    <a:blip r:embed="rId25"/>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书写要坚持唯物史观，科学、客观的分析。首先，战争的导火索是林则徐虎门销烟。根本原因是英国殖民者打开中国市场的需要。其次，英国政府宣布对华发动战争，英国远征军率军侵略。清政府组织了抵抗，涌现许多抗英的杰出将领。林则徐被革职暴露道光皇帝的懦弱，但琦善的议和不应背负战败的罪名，而是要晚清封建政府中国仍然在封建社会，君主专制统治、小农经济的生产方式、科技落后等；欧洲资本主义不断发展。当时中国落后世界大势。</w:t>
      </w:r>
      <w:r>
        <w:rPr>
          <w:strike w:val="0"/>
          <w:sz w:val="21"/>
          <w:szCs w:val="21"/>
          <w:u w:val="none"/>
        </w:rPr>
        <w:drawing>
          <wp:inline distT="0" distB="0" distL="114300" distR="114300">
            <wp:extent cx="28575" cy="28575"/>
            <wp:effectExtent l="0" t="0" r="0" b="0"/>
            <wp:docPr id="100157" name="图片 100157"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图片 100157" descr="page number 9"/>
                    <pic:cNvPicPr>
                      <a:picLocks noChangeAspect="1"/>
                    </pic:cNvPicPr>
                  </pic:nvPicPr>
                  <pic:blipFill>
                    <a:blip r:embed="rId24"/>
                    <a:stretch>
                      <a:fillRect/>
                    </a:stretch>
                  </pic:blipFill>
                  <pic:spPr>
                    <a:xfrm>
                      <a:off x="0" y="0"/>
                      <a:ext cx="28575" cy="28575"/>
                    </a:xfrm>
                    <a:prstGeom prst="rect">
                      <a:avLst/>
                    </a:prstGeom>
                  </pic:spPr>
                </pic:pic>
              </a:graphicData>
            </a:graphic>
          </wp:inline>
        </w:drawing>
      </w:r>
    </w:p>
    <w:p w14:paraId="39A718AA">
      <w:pPr>
        <w:sectPr>
          <w:headerReference r:id="rId10" w:type="default"/>
          <w:type w:val="continuous"/>
          <w:pgSz w:w="11927" w:h="16875"/>
          <w:pgMar w:top="800" w:right="1120" w:bottom="540" w:left="1120" w:header="708" w:footer="708" w:gutter="0"/>
          <w:cols w:space="708" w:num="1"/>
          <w:docGrid w:linePitch="360" w:charSpace="0"/>
        </w:sectPr>
      </w:pPr>
    </w:p>
    <w:p w14:paraId="482A2B80">
      <w:pPr>
        <w:widowControl w:val="0"/>
        <w:spacing w:before="0" w:after="0" w:line="360" w:lineRule="auto"/>
        <w:jc w:val="both"/>
        <w:rPr>
          <w:sz w:val="21"/>
          <w:szCs w:val="21"/>
        </w:rPr>
      </w:pPr>
      <w:r>
        <w:rPr>
          <w:rFonts w:ascii="宋体" w:hAnsi="宋体" w:eastAsia="宋体" w:cs="宋体"/>
          <w:color w:val="2E75B6"/>
          <w:sz w:val="21"/>
          <w:szCs w:val="21"/>
        </w:rPr>
        <w:t>【解析】</w:t>
      </w:r>
    </w:p>
    <w:p w14:paraId="0509BE7E">
      <w:pPr>
        <w:widowControl w:val="0"/>
        <w:spacing w:before="0" w:after="0" w:line="360" w:lineRule="auto"/>
        <w:jc w:val="both"/>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4A56476F">
      <w:pPr>
        <w:widowControl w:val="0"/>
        <w:spacing w:before="0" w:after="0" w:line="360" w:lineRule="auto"/>
        <w:rPr>
          <w:sz w:val="21"/>
          <w:szCs w:val="21"/>
        </w:rPr>
      </w:pPr>
      <w:r>
        <w:rPr>
          <w:rFonts w:ascii="宋体" w:hAnsi="宋体" w:eastAsia="宋体" w:cs="宋体"/>
          <w:sz w:val="21"/>
          <w:szCs w:val="21"/>
        </w:rPr>
        <w:t>本题是认识类材料分析题。时空：鸦片战争时期（中国）。据材料一“清朝的时候，鸦片运来得越来越多，现银流出也就跟着多了，好几个皇帝都下过禁烟的命令。皇帝叫林则徐到广东查禁鸦片，但英国商人不服从禁烟命令，不怪自己不好，反去求印度总督来救援”可知，鸦片战争爆发的原因是英国商人向中国走私鸦片导致白银大量外流，清政府决心禁烟遭到英国商人拒绝而引发英军侵略。据材料一“反去求印度总督来救援”可知，侵略者是来自印度殖民地的军队，印度总督支援英商而发动的战争。据材料一“打了胜仗，可后来英兵攻打浙江，破定海，封镇宁波，进逼天津”可知，这场战争中只有林则徐抵抗获胜，其余地方清军反击都失败。据材料一“清朝皇帝不中用，怪林则徐闹出乱子来，把他革职，叫琦善去和英人议和。琦善这个人不会办事，英兵就再打进吴淞，进逼南京”可知，林则徐被革职，而琦善的无能作为是英军再次进攻的罪魁祸首。</w:t>
      </w:r>
    </w:p>
    <w:p w14:paraId="33114ADB">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04E8D1F3">
      <w:pPr>
        <w:widowControl w:val="0"/>
        <w:spacing w:before="0" w:after="0" w:line="360" w:lineRule="auto"/>
        <w:rPr>
          <w:sz w:val="21"/>
          <w:szCs w:val="21"/>
        </w:rPr>
      </w:pPr>
      <w:r>
        <w:rPr>
          <w:rFonts w:ascii="宋体" w:hAnsi="宋体" w:eastAsia="宋体" w:cs="宋体"/>
          <w:sz w:val="21"/>
          <w:szCs w:val="21"/>
        </w:rPr>
        <w:t>本题是认识类材料分析题。时空：鸦片战争时期（中国）。结合所学从唯物史观的方法来科学、客观的分析历史事件。首先，战争爆发的原因：结合所学从鸦片战争爆发的导火索、根本原因来分析。如：战争的导火索是林则徐虎门销烟。根本原因是英国殖民者打开中国市场的需要。战争过程主要表现：结合所学从清政府内部的杰出将领抵抗、皇帝的懦弱等角度分析，如：英国政府宣布对华发动战争，英国远征军率军侵略。清政府组织了抵抗，涌现许多抗英的杰出将领。林则徐被革职暴露道光皇帝的懦弱，但琦善的议和不应背负战败的罪名，而是要晚清封建政府中国仍然在封建社会，君主专制统治、小农经济的生产方式、科技落后等。战争结果：结合所学从晚清封建政府的落后与欧洲资本主义的发展对比分析。如：欧洲资本主义不断发展。当时中国落后世界大势。</w:t>
      </w:r>
    </w:p>
    <w:p w14:paraId="5D288E00">
      <w:pPr>
        <w:widowControl w:val="0"/>
        <w:spacing w:before="0" w:after="0" w:line="360" w:lineRule="auto"/>
        <w:rPr>
          <w:sz w:val="21"/>
          <w:szCs w:val="21"/>
        </w:rPr>
      </w:pPr>
      <w:r>
        <w:rPr>
          <w:sz w:val="21"/>
          <w:szCs w:val="21"/>
        </w:rPr>
        <w:t xml:space="preserve">18. </w:t>
      </w:r>
      <w:r>
        <w:rPr>
          <w:rFonts w:ascii="宋体" w:hAnsi="宋体" w:eastAsia="宋体" w:cs="宋体"/>
          <w:sz w:val="21"/>
          <w:szCs w:val="21"/>
        </w:rPr>
        <w:t>阅读材料，回答问题。</w:t>
      </w:r>
    </w:p>
    <w:p w14:paraId="123EA43A">
      <w:pPr>
        <w:widowControl w:val="0"/>
        <w:spacing w:before="0" w:after="0" w:line="360" w:lineRule="auto"/>
        <w:jc w:val="center"/>
        <w:rPr>
          <w:sz w:val="21"/>
          <w:szCs w:val="21"/>
        </w:rPr>
      </w:pPr>
      <w:r>
        <w:rPr>
          <w:rFonts w:ascii="楷体" w:hAnsi="楷体" w:eastAsia="楷体" w:cs="楷体"/>
          <w:sz w:val="21"/>
          <w:szCs w:val="21"/>
        </w:rPr>
        <w:t>数字里的上海</w:t>
      </w:r>
    </w:p>
    <w:p w14:paraId="2610EFDD">
      <w:pPr>
        <w:widowControl w:val="0"/>
        <w:spacing w:before="0" w:after="0" w:line="360" w:lineRule="auto"/>
        <w:ind w:firstLine="420"/>
        <w:rPr>
          <w:sz w:val="21"/>
          <w:szCs w:val="21"/>
        </w:rPr>
      </w:pPr>
      <w:r>
        <w:rPr>
          <w:rFonts w:ascii="楷体" w:hAnsi="楷体" w:eastAsia="楷体" w:cs="楷体"/>
          <w:sz w:val="21"/>
          <w:szCs w:val="21"/>
        </w:rPr>
        <w:t>材料一</w:t>
      </w:r>
    </w:p>
    <w:p w14:paraId="479A6C84">
      <w:pPr>
        <w:widowControl w:val="0"/>
        <w:spacing w:before="0" w:after="0" w:line="360" w:lineRule="auto"/>
        <w:rPr>
          <w:sz w:val="21"/>
          <w:szCs w:val="21"/>
        </w:rPr>
      </w:pPr>
      <w:r>
        <w:rPr>
          <w:strike w:val="0"/>
          <w:sz w:val="21"/>
          <w:szCs w:val="21"/>
          <w:u w:val="none"/>
        </w:rPr>
        <w:drawing>
          <wp:inline distT="0" distB="0" distL="114300" distR="114300">
            <wp:extent cx="2447925" cy="1781175"/>
            <wp:effectExtent l="0" t="0" r="9525" b="9525"/>
            <wp:docPr id="100171" name="图片 1001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1" name="图片 100171" descr="学科网(www.zxxk.com)--教育资源门户，提供试卷、教案、课件、论文、素材以及各类教学资源下载，还有大量而丰富的教学相关资讯！"/>
                    <pic:cNvPicPr>
                      <a:picLocks noChangeAspect="1"/>
                    </pic:cNvPicPr>
                  </pic:nvPicPr>
                  <pic:blipFill>
                    <a:blip r:embed="rId32"/>
                    <a:stretch>
                      <a:fillRect/>
                    </a:stretch>
                  </pic:blipFill>
                  <pic:spPr>
                    <a:xfrm>
                      <a:off x="0" y="0"/>
                      <a:ext cx="2447925" cy="1781175"/>
                    </a:xfrm>
                    <a:prstGeom prst="rect">
                      <a:avLst/>
                    </a:prstGeom>
                  </pic:spPr>
                </pic:pic>
              </a:graphicData>
            </a:graphic>
          </wp:inline>
        </w:drawing>
      </w:r>
    </w:p>
    <w:p w14:paraId="2090029E">
      <w:pPr>
        <w:widowControl w:val="0"/>
        <w:spacing w:before="0" w:after="0" w:line="360" w:lineRule="auto"/>
        <w:rPr>
          <w:sz w:val="21"/>
          <w:szCs w:val="21"/>
        </w:rPr>
      </w:pPr>
      <w:r>
        <w:rPr>
          <w:rFonts w:ascii="楷体" w:hAnsi="楷体" w:eastAsia="楷体" w:cs="楷体"/>
          <w:sz w:val="21"/>
          <w:szCs w:val="21"/>
        </w:rPr>
        <w:t>1945—1947年上海工业分行业资本占比情况</w:t>
      </w:r>
    </w:p>
    <w:p w14:paraId="02A877FE">
      <w:pPr>
        <w:widowControl w:val="0"/>
        <w:spacing w:before="0" w:after="0" w:line="360" w:lineRule="auto"/>
        <w:ind w:firstLine="420"/>
        <w:rPr>
          <w:sz w:val="21"/>
          <w:szCs w:val="21"/>
        </w:rPr>
      </w:pPr>
      <w:r>
        <w:rPr>
          <w:rFonts w:ascii="楷体" w:hAnsi="楷体" w:eastAsia="楷体" w:cs="楷体"/>
          <w:sz w:val="21"/>
          <w:szCs w:val="21"/>
        </w:rPr>
        <w:t>1947年，上海有工厂7738家、工人367433人，分别占全国12个主要城市工厂、工人总数的60%、</w:t>
      </w:r>
      <w:r>
        <w:rPr>
          <w:strike w:val="0"/>
          <w:sz w:val="21"/>
          <w:szCs w:val="21"/>
          <w:u w:val="none"/>
        </w:rPr>
        <w:drawing>
          <wp:inline distT="0" distB="0" distL="114300" distR="114300">
            <wp:extent cx="28575" cy="28575"/>
            <wp:effectExtent l="0" t="0" r="0" b="0"/>
            <wp:docPr id="100173" name="图片 100173"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图片 100173" descr="page number 10"/>
                    <pic:cNvPicPr>
                      <a:picLocks noChangeAspect="1"/>
                    </pic:cNvPicPr>
                  </pic:nvPicPr>
                  <pic:blipFill>
                    <a:blip r:embed="rId24"/>
                    <a:stretch>
                      <a:fillRect/>
                    </a:stretch>
                  </pic:blipFill>
                  <pic:spPr>
                    <a:xfrm>
                      <a:off x="0" y="0"/>
                      <a:ext cx="28575" cy="28575"/>
                    </a:xfrm>
                    <a:prstGeom prst="rect">
                      <a:avLst/>
                    </a:prstGeom>
                  </pic:spPr>
                </pic:pic>
              </a:graphicData>
            </a:graphic>
          </wp:inline>
        </w:drawing>
      </w:r>
    </w:p>
    <w:p w14:paraId="669815AB">
      <w:pPr>
        <w:sectPr>
          <w:headerReference r:id="rId11" w:type="default"/>
          <w:type w:val="continuous"/>
          <w:pgSz w:w="11927" w:h="16875"/>
          <w:pgMar w:top="800" w:right="1120" w:bottom="540" w:left="1120" w:header="708" w:footer="708" w:gutter="0"/>
          <w:cols w:space="708" w:num="1"/>
          <w:docGrid w:linePitch="360" w:charSpace="0"/>
        </w:sectPr>
      </w:pPr>
    </w:p>
    <w:p w14:paraId="2BA3AD66">
      <w:pPr>
        <w:widowControl w:val="0"/>
        <w:spacing w:before="0" w:after="0" w:line="360" w:lineRule="auto"/>
        <w:rPr>
          <w:sz w:val="21"/>
          <w:szCs w:val="21"/>
        </w:rPr>
      </w:pPr>
      <w:r>
        <w:rPr>
          <w:rFonts w:ascii="楷体" w:hAnsi="楷体" w:eastAsia="楷体" w:cs="楷体"/>
          <w:sz w:val="21"/>
          <w:szCs w:val="21"/>
        </w:rPr>
        <w:t>61%。上海解放前夕，外国资本控制了全市90%以上的电力供应，73%的自来水供应，97%的煤气供应，100%的电话和电车经营。官僚资本企业拥有的炼钢炉占全市总数的85.7%，钢产量占89.3%；拥有的纱锭和布机分别占全市总数的38．5%和59.2%</w:t>
      </w:r>
    </w:p>
    <w:p w14:paraId="767B1E13">
      <w:pPr>
        <w:widowControl w:val="0"/>
        <w:spacing w:before="0" w:after="0" w:line="360" w:lineRule="auto"/>
        <w:ind w:firstLine="420"/>
        <w:jc w:val="right"/>
        <w:rPr>
          <w:sz w:val="21"/>
          <w:szCs w:val="21"/>
        </w:rPr>
      </w:pPr>
      <w:r>
        <w:rPr>
          <w:rFonts w:ascii="楷体" w:hAnsi="楷体" w:eastAsia="楷体" w:cs="楷体"/>
          <w:sz w:val="21"/>
          <w:szCs w:val="21"/>
        </w:rPr>
        <w:t>——摘编自严中平等编《中国近代经济史统计资料选辑》等</w:t>
      </w:r>
    </w:p>
    <w:p w14:paraId="220D7560">
      <w:pPr>
        <w:widowControl w:val="0"/>
        <w:spacing w:before="0" w:after="0" w:line="360" w:lineRule="auto"/>
        <w:ind w:firstLine="420"/>
        <w:rPr>
          <w:sz w:val="21"/>
          <w:szCs w:val="21"/>
        </w:rPr>
      </w:pPr>
      <w:r>
        <w:rPr>
          <w:rFonts w:ascii="楷体" w:hAnsi="楷体" w:eastAsia="楷体" w:cs="楷体"/>
          <w:sz w:val="21"/>
          <w:szCs w:val="21"/>
        </w:rPr>
        <w:t>材料二</w:t>
      </w:r>
    </w:p>
    <w:p w14:paraId="3DC0F74E">
      <w:pPr>
        <w:widowControl w:val="0"/>
        <w:spacing w:before="0" w:after="0" w:line="360" w:lineRule="auto"/>
        <w:rPr>
          <w:sz w:val="21"/>
          <w:szCs w:val="21"/>
        </w:rPr>
      </w:pPr>
      <w:r>
        <w:rPr>
          <w:strike w:val="0"/>
          <w:sz w:val="21"/>
          <w:szCs w:val="21"/>
          <w:u w:val="none"/>
        </w:rPr>
        <w:drawing>
          <wp:inline distT="0" distB="0" distL="114300" distR="114300">
            <wp:extent cx="2590800" cy="1971675"/>
            <wp:effectExtent l="0" t="0" r="0" b="9525"/>
            <wp:docPr id="100187" name="图片 1001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7" name="图片 100187" descr="学科网(www.zxxk.com)--教育资源门户，提供试卷、教案、课件、论文、素材以及各类教学资源下载，还有大量而丰富的教学相关资讯！"/>
                    <pic:cNvPicPr>
                      <a:picLocks noChangeAspect="1"/>
                    </pic:cNvPicPr>
                  </pic:nvPicPr>
                  <pic:blipFill>
                    <a:blip r:embed="rId33"/>
                    <a:stretch>
                      <a:fillRect/>
                    </a:stretch>
                  </pic:blipFill>
                  <pic:spPr>
                    <a:xfrm>
                      <a:off x="0" y="0"/>
                      <a:ext cx="2590800" cy="1971675"/>
                    </a:xfrm>
                    <a:prstGeom prst="rect">
                      <a:avLst/>
                    </a:prstGeom>
                  </pic:spPr>
                </pic:pic>
              </a:graphicData>
            </a:graphic>
          </wp:inline>
        </w:drawing>
      </w:r>
    </w:p>
    <w:p w14:paraId="45C748D5">
      <w:pPr>
        <w:widowControl w:val="0"/>
        <w:spacing w:before="0" w:after="0" w:line="360" w:lineRule="auto"/>
        <w:rPr>
          <w:sz w:val="21"/>
          <w:szCs w:val="21"/>
        </w:rPr>
      </w:pPr>
      <w:r>
        <w:rPr>
          <w:rFonts w:ascii="楷体" w:hAnsi="楷体" w:eastAsia="楷体" w:cs="楷体"/>
          <w:sz w:val="21"/>
          <w:szCs w:val="21"/>
        </w:rPr>
        <w:t>1949—1957年上海轻、重工业产值和占比变化情况</w:t>
      </w:r>
    </w:p>
    <w:p w14:paraId="0361C691">
      <w:pPr>
        <w:widowControl w:val="0"/>
        <w:spacing w:before="0" w:after="0" w:line="360" w:lineRule="auto"/>
        <w:ind w:firstLine="420"/>
        <w:rPr>
          <w:sz w:val="21"/>
          <w:szCs w:val="21"/>
        </w:rPr>
      </w:pPr>
      <w:r>
        <w:rPr>
          <w:rFonts w:ascii="楷体" w:hAnsi="楷体" w:eastAsia="楷体" w:cs="楷体"/>
          <w:sz w:val="21"/>
          <w:szCs w:val="21"/>
        </w:rPr>
        <w:t>新中国成立初期，上海的工业品绝大部分供应全国，不少工厂为国家重点建设的156个项目生产配套设备。1953—1957年，上海共有272家轻纺类工厂内迁。整个五十年代，上海支援各地的机器设备计有6000多台。1956年，上海进行了第一次工业大改组，全市2万多个工厂分行业成立了83个行政性专业工业公司</w:t>
      </w:r>
    </w:p>
    <w:p w14:paraId="18FF8E6B">
      <w:pPr>
        <w:widowControl w:val="0"/>
        <w:spacing w:before="0" w:after="0" w:line="360" w:lineRule="auto"/>
        <w:ind w:firstLine="420"/>
        <w:jc w:val="right"/>
        <w:rPr>
          <w:sz w:val="21"/>
          <w:szCs w:val="21"/>
        </w:rPr>
      </w:pPr>
      <w:r>
        <w:rPr>
          <w:rFonts w:ascii="楷体" w:hAnsi="楷体" w:eastAsia="楷体" w:cs="楷体"/>
          <w:sz w:val="21"/>
          <w:szCs w:val="21"/>
        </w:rPr>
        <w:t>——摘编自《上海统计年鉴》等</w:t>
      </w:r>
    </w:p>
    <w:p w14:paraId="4176376A">
      <w:pPr>
        <w:widowControl w:val="0"/>
        <w:spacing w:before="0" w:after="0" w:line="360" w:lineRule="auto"/>
        <w:rPr>
          <w:sz w:val="21"/>
          <w:szCs w:val="21"/>
        </w:rPr>
      </w:pPr>
      <w:r>
        <w:rPr>
          <w:rFonts w:ascii="宋体" w:hAnsi="宋体" w:eastAsia="宋体" w:cs="宋体"/>
          <w:sz w:val="21"/>
          <w:szCs w:val="21"/>
        </w:rPr>
        <w:t>提取材料信息，以“上海·缩影”为题写一则历史短文。（要求：表述成文，叙述完整；立论正确，史论结合；逻辑严密，条理清晰。）</w:t>
      </w:r>
    </w:p>
    <w:p w14:paraId="4279A479">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 xml:space="preserve">论题：上海·缩影   </w:t>
      </w:r>
    </w:p>
    <w:p w14:paraId="3ADD43CA">
      <w:pPr>
        <w:widowControl w:val="0"/>
        <w:spacing w:before="0" w:after="0" w:line="360" w:lineRule="auto"/>
        <w:rPr>
          <w:sz w:val="21"/>
          <w:szCs w:val="21"/>
        </w:rPr>
      </w:pPr>
      <w:r>
        <w:rPr>
          <w:rFonts w:ascii="宋体" w:hAnsi="宋体" w:eastAsia="宋体" w:cs="宋体"/>
          <w:sz w:val="21"/>
          <w:szCs w:val="21"/>
        </w:rPr>
        <w:t>论述：上海既是旧中国遭受殖民侵略落后挨打的缩影，也是新中国翻天覆地发展腾飞的缩影。旧中国曾遭受外国列强侵略，本国封建主义和官僚资本主义压迫，处于半殖民地半封建社会环境之中，政治长期动荡、经济畸形发展，人民生活水平落后。图9中1945—1947年上海工业分行业资本占比情况可知，上海解放前夕，外国资本和官僚资本占据并控制了全市主要行业和重点行业。体现了上海在旧中国具有浓厚半封建半殖民色彩。</w:t>
      </w:r>
      <w:r>
        <w:rPr>
          <w:rFonts w:ascii="宋体" w:hAnsi="宋体" w:eastAsia="宋体" w:cs="宋体"/>
          <w:sz w:val="21"/>
          <w:szCs w:val="21"/>
        </w:rPr>
        <w:tab/>
      </w:r>
      <w:r>
        <w:rPr>
          <w:rFonts w:ascii="宋体" w:hAnsi="宋体" w:eastAsia="宋体" w:cs="宋体"/>
          <w:sz w:val="21"/>
          <w:szCs w:val="21"/>
        </w:rPr>
        <w:t>新中国成立后，面对国民党留下的烂摊子，百废待兴，党领导人民，通过土地改革、鼓励工商业发展、统一财经、稳定物价等措施恢复发展经济，又通过一五计划奠定了工业化基础，我国开始改变工业落后面貌，人民生活水平提高。三大改造完成对生产关系改造，建立社会主义制度，实现翻天覆地的变化。图10中1949—1957年上海轻、重工业产值和占比变化情况可知，上海在新中国成立后，成为全国经济中心之一，经过银元之战和米棉之战后，上海经济秩序稳定，轻重工业稳步提升，比例合理调整，经过改造，上海经济获得新生。</w:t>
      </w:r>
      <w:r>
        <w:rPr>
          <w:rFonts w:ascii="宋体" w:hAnsi="宋体" w:eastAsia="宋体" w:cs="宋体"/>
          <w:sz w:val="21"/>
          <w:szCs w:val="21"/>
        </w:rPr>
        <w:tab/>
      </w:r>
      <w:r>
        <w:rPr>
          <w:strike w:val="0"/>
          <w:sz w:val="21"/>
          <w:szCs w:val="21"/>
          <w:u w:val="none"/>
        </w:rPr>
        <w:drawing>
          <wp:inline distT="0" distB="0" distL="114300" distR="114300">
            <wp:extent cx="28575" cy="28575"/>
            <wp:effectExtent l="0" t="0" r="0" b="0"/>
            <wp:docPr id="100189" name="图片 100189"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9" name="图片 100189" descr="page number 11"/>
                    <pic:cNvPicPr>
                      <a:picLocks noChangeAspect="1"/>
                    </pic:cNvPicPr>
                  </pic:nvPicPr>
                  <pic:blipFill>
                    <a:blip r:embed="rId24"/>
                    <a:stretch>
                      <a:fillRect/>
                    </a:stretch>
                  </pic:blipFill>
                  <pic:spPr>
                    <a:xfrm>
                      <a:off x="0" y="0"/>
                      <a:ext cx="28575" cy="28575"/>
                    </a:xfrm>
                    <a:prstGeom prst="rect">
                      <a:avLst/>
                    </a:prstGeom>
                  </pic:spPr>
                </pic:pic>
              </a:graphicData>
            </a:graphic>
          </wp:inline>
        </w:drawing>
      </w:r>
    </w:p>
    <w:p w14:paraId="38C22691">
      <w:pPr>
        <w:sectPr>
          <w:headerReference r:id="rId12" w:type="default"/>
          <w:type w:val="continuous"/>
          <w:pgSz w:w="11927" w:h="16875"/>
          <w:pgMar w:top="800" w:right="1120" w:bottom="540" w:left="1120" w:header="708" w:footer="708" w:gutter="0"/>
          <w:cols w:space="708" w:num="1"/>
          <w:docGrid w:linePitch="360" w:charSpace="0"/>
        </w:sectPr>
      </w:pPr>
    </w:p>
    <w:p w14:paraId="7B127ACB">
      <w:pPr>
        <w:widowControl w:val="0"/>
        <w:spacing w:before="0" w:after="0" w:line="360" w:lineRule="auto"/>
        <w:rPr>
          <w:sz w:val="21"/>
          <w:szCs w:val="21"/>
        </w:rPr>
      </w:pPr>
      <w:r>
        <w:rPr>
          <w:rFonts w:ascii="宋体" w:hAnsi="宋体" w:eastAsia="宋体" w:cs="宋体"/>
          <w:sz w:val="21"/>
          <w:szCs w:val="21"/>
        </w:rPr>
        <w:t>总之，上海在解放前，遭受外国侵略、经济畸形发展，是旧中国落后挨打的缩影，而新中国成立后，上海在国民经济恢复、一五计划、三大改造等过程中，经过一系列变革，迎来新生，是新中国发展腾飞的缩影。</w:t>
      </w:r>
    </w:p>
    <w:p w14:paraId="61392C1C">
      <w:pPr>
        <w:widowControl w:val="0"/>
        <w:spacing w:before="0" w:after="0" w:line="360" w:lineRule="auto"/>
        <w:jc w:val="both"/>
        <w:rPr>
          <w:sz w:val="21"/>
          <w:szCs w:val="21"/>
        </w:rPr>
      </w:pPr>
      <w:r>
        <w:rPr>
          <w:rFonts w:ascii="宋体" w:hAnsi="宋体" w:eastAsia="宋体" w:cs="宋体"/>
          <w:color w:val="2E75B6"/>
          <w:sz w:val="21"/>
          <w:szCs w:val="21"/>
        </w:rPr>
        <w:t>【解析】</w:t>
      </w:r>
    </w:p>
    <w:p w14:paraId="3BC32080">
      <w:pPr>
        <w:widowControl w:val="0"/>
        <w:spacing w:before="0" w:after="0" w:line="360" w:lineRule="auto"/>
        <w:rPr>
          <w:rFonts w:ascii="Times New Roman" w:hAnsi="Times New Roman" w:eastAsia="Times New Roman" w:cs="Times New Roman"/>
          <w:sz w:val="21"/>
          <w:szCs w:val="21"/>
        </w:rPr>
      </w:pPr>
      <w:r>
        <w:rPr>
          <w:rFonts w:ascii="宋体" w:hAnsi="宋体" w:eastAsia="宋体" w:cs="宋体"/>
          <w:sz w:val="21"/>
          <w:szCs w:val="21"/>
        </w:rPr>
        <w:t>【详解】</w:t>
      </w:r>
      <w:r>
        <w:rPr>
          <w:rFonts w:ascii="Times New Roman" w:hAnsi="Times New Roman" w:eastAsia="Times New Roman" w:cs="Times New Roman"/>
          <w:sz w:val="21"/>
          <w:szCs w:val="21"/>
        </w:rPr>
        <w:tab/>
      </w:r>
      <w:r>
        <w:rPr>
          <w:rFonts w:ascii="宋体" w:hAnsi="宋体" w:eastAsia="宋体" w:cs="宋体"/>
          <w:sz w:val="21"/>
          <w:szCs w:val="21"/>
        </w:rPr>
        <w:t>本题是论述题历史短文撰写题。时空是新中国成立前后的上海。首先解读材料，材料主要讲述了上海在新中国成立前后，经济结构、经济比例和经济发展情况，材料要求提取材料信息，以“上海·缩影”为题写一则历史短文，通过前后对比可知，上海在新中国成立前后经济发生翻天覆地的变化，上海既是旧中国遭受殖民侵略落后挨打的缩影，也是新中国翻天覆地发展腾飞的缩影。</w:t>
      </w:r>
    </w:p>
    <w:p w14:paraId="5AA0801D">
      <w:pPr>
        <w:widowControl w:val="0"/>
        <w:spacing w:before="0" w:after="0" w:line="360" w:lineRule="auto"/>
        <w:rPr>
          <w:sz w:val="21"/>
          <w:szCs w:val="21"/>
        </w:rPr>
      </w:pPr>
      <w:r>
        <w:rPr>
          <w:rFonts w:ascii="宋体" w:hAnsi="宋体" w:eastAsia="宋体" w:cs="宋体"/>
          <w:sz w:val="21"/>
          <w:szCs w:val="21"/>
        </w:rPr>
        <w:t>其次根据“上海·缩影”为主题，围绕上海既是旧中国遭受殖民侵略落后挨打的缩影，也是新中国翻天覆地发展腾飞的缩影。进行史实对比论证。旧中国曾遭受外国列强侵略，本国封建主义和官僚资本主义压迫，处于半殖民地半封建社会环境之中，政治长期动荡、经济畸形发展，人民生活水平落后。图9中1945—1947年上海工业分行业资本占比情况可知，上海解放前夕，外国资本和官僚资本占据并控制了全市主要行业和重点行业。体现了上海在旧中国具有浓厚半封建半殖民色彩。</w:t>
      </w:r>
    </w:p>
    <w:p w14:paraId="272B4D0B">
      <w:pPr>
        <w:widowControl w:val="0"/>
        <w:spacing w:before="0" w:after="0"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宋体" w:hAnsi="宋体" w:eastAsia="宋体" w:cs="宋体"/>
          <w:sz w:val="21"/>
          <w:szCs w:val="21"/>
        </w:rPr>
        <w:t>新中国成立后，面对国民党留下的烂摊子，百废待兴，党领导人民，通过土地改革、鼓励工商业发展、统一财经、稳定物价等措施恢复发展经济，又通过一五计划奠定了工业化基础，我国开始改变工业落后面貌，人民生活水平提高。三大改造完成对生产关系改造，建立社会主义制度，实现翻天覆地的变化。图10中1949—1957年上海轻、重工业产值和占比变化情况可知，上海在新中国成立后，成为全国经济中心之一，经过银元之战和米棉之战后，上海经济秩序稳定，轻重工业稳步提升，比例合理调整，经过改造，上海经济获得新生。</w:t>
      </w:r>
    </w:p>
    <w:p w14:paraId="25E72FC7">
      <w:pPr>
        <w:widowControl w:val="0"/>
        <w:spacing w:before="0" w:after="0" w:line="36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ab/>
      </w:r>
      <w:r>
        <w:rPr>
          <w:rFonts w:ascii="宋体" w:hAnsi="宋体" w:eastAsia="宋体" w:cs="宋体"/>
          <w:sz w:val="21"/>
          <w:szCs w:val="21"/>
        </w:rPr>
        <w:t>最后总结提升：总之，上海在解放前，遭受外国侵略、经济畸形发展，是旧中国落后挨打的缩影，而新中国成立后，上海在国民经济恢复、一五计划、三大改造等过程中，经过一系列变革，迎来新生，是新中国发展腾飞的缩影。</w:t>
      </w:r>
    </w:p>
    <w:p w14:paraId="03148A62">
      <w:pPr>
        <w:widowControl w:val="0"/>
        <w:spacing w:before="0" w:after="0" w:line="360" w:lineRule="auto"/>
        <w:rPr>
          <w:sz w:val="21"/>
          <w:szCs w:val="21"/>
        </w:rPr>
      </w:pPr>
      <w:r>
        <w:rPr>
          <w:sz w:val="21"/>
          <w:szCs w:val="21"/>
        </w:rPr>
        <w:t xml:space="preserve">19. </w:t>
      </w:r>
      <w:r>
        <w:rPr>
          <w:rFonts w:ascii="宋体" w:hAnsi="宋体" w:eastAsia="宋体" w:cs="宋体"/>
          <w:sz w:val="21"/>
          <w:szCs w:val="21"/>
        </w:rPr>
        <w:t>阅读材料，回答问题。</w:t>
      </w:r>
    </w:p>
    <w:p w14:paraId="3F5BD495">
      <w:pPr>
        <w:widowControl w:val="0"/>
        <w:spacing w:before="0" w:after="0" w:line="360" w:lineRule="auto"/>
        <w:ind w:firstLine="420"/>
        <w:jc w:val="center"/>
        <w:rPr>
          <w:sz w:val="21"/>
          <w:szCs w:val="21"/>
        </w:rPr>
      </w:pPr>
      <w:r>
        <w:rPr>
          <w:rFonts w:ascii="楷体" w:hAnsi="楷体" w:eastAsia="楷体" w:cs="楷体"/>
          <w:sz w:val="21"/>
          <w:szCs w:val="21"/>
        </w:rPr>
        <w:t>非洲的“解放”</w:t>
      </w:r>
    </w:p>
    <w:p w14:paraId="19008C10">
      <w:pPr>
        <w:widowControl w:val="0"/>
        <w:spacing w:before="0" w:after="0" w:line="360" w:lineRule="auto"/>
        <w:ind w:firstLine="420"/>
        <w:rPr>
          <w:sz w:val="21"/>
          <w:szCs w:val="21"/>
        </w:rPr>
      </w:pPr>
      <w:r>
        <w:rPr>
          <w:rFonts w:ascii="楷体" w:hAnsi="楷体" w:eastAsia="楷体" w:cs="楷体"/>
          <w:sz w:val="21"/>
          <w:szCs w:val="21"/>
        </w:rPr>
        <w:t>材料一  下表是1960—1980年部分非洲国家主要商品出口情况统计。</w:t>
      </w:r>
    </w:p>
    <w:tbl>
      <w:tblPr>
        <w:tblStyle w:val="4"/>
        <w:tblW w:w="0" w:type="auto"/>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660"/>
        <w:gridCol w:w="660"/>
        <w:gridCol w:w="1080"/>
        <w:gridCol w:w="923"/>
        <w:gridCol w:w="923"/>
        <w:gridCol w:w="923"/>
      </w:tblGrid>
      <w:tr w14:paraId="4C5C8A5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vMerge w:val="restart"/>
            <w:tcBorders>
              <w:bottom w:val="single" w:color="000000" w:sz="6" w:space="0"/>
              <w:right w:val="single" w:color="000000" w:sz="6" w:space="0"/>
            </w:tcBorders>
            <w:noWrap w:val="0"/>
            <w:tcMar>
              <w:top w:w="76" w:type="dxa"/>
              <w:left w:w="120" w:type="dxa"/>
              <w:bottom w:w="76" w:type="dxa"/>
              <w:right w:w="120" w:type="dxa"/>
            </w:tcMar>
            <w:vAlign w:val="center"/>
          </w:tcPr>
          <w:p w14:paraId="71D9547A">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区域</w:t>
            </w:r>
          </w:p>
        </w:tc>
        <w:tc>
          <w:tcPr>
            <w:vMerge w:val="restart"/>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271DC35">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国别</w:t>
            </w:r>
          </w:p>
        </w:tc>
        <w:tc>
          <w:tcPr>
            <w:vMerge w:val="restart"/>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C4D4F40">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主要商品</w:t>
            </w:r>
          </w:p>
        </w:tc>
        <w:tc>
          <w:tcPr>
            <w:gridSpan w:val="3"/>
            <w:tcBorders>
              <w:left w:val="single" w:color="000000" w:sz="6" w:space="0"/>
              <w:bottom w:val="single" w:color="000000" w:sz="6" w:space="0"/>
            </w:tcBorders>
            <w:noWrap w:val="0"/>
            <w:tcMar>
              <w:top w:w="76" w:type="dxa"/>
              <w:left w:w="120" w:type="dxa"/>
              <w:bottom w:w="76" w:type="dxa"/>
              <w:right w:w="120" w:type="dxa"/>
            </w:tcMar>
            <w:vAlign w:val="center"/>
          </w:tcPr>
          <w:p w14:paraId="0E0E7CF4">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在出口总值中的占比（%）</w:t>
            </w:r>
          </w:p>
        </w:tc>
      </w:tr>
      <w:tr w14:paraId="47776DC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vMerge w:val="continue"/>
            <w:tcBorders>
              <w:bottom w:val="single" w:color="000000" w:sz="6" w:space="0"/>
              <w:right w:val="single" w:color="000000" w:sz="6" w:space="0"/>
            </w:tcBorders>
            <w:vAlign w:val="center"/>
          </w:tcPr>
          <w:p w14:paraId="32940C6E">
            <w:pPr>
              <w:rPr>
                <w:rFonts w:ascii="楷体" w:hAnsi="楷体" w:eastAsia="楷体" w:cs="楷体"/>
                <w:b w:val="0"/>
                <w:bCs w:val="0"/>
                <w:i w:val="0"/>
                <w:iCs w:val="0"/>
                <w:smallCaps w:val="0"/>
                <w:color w:val="000000"/>
                <w:sz w:val="21"/>
                <w:szCs w:val="21"/>
              </w:rPr>
            </w:pPr>
          </w:p>
        </w:tc>
        <w:tc>
          <w:tcPr>
            <w:vMerge w:val="continue"/>
            <w:tcBorders>
              <w:left w:val="single" w:color="000000" w:sz="6" w:space="0"/>
              <w:bottom w:val="single" w:color="000000" w:sz="6" w:space="0"/>
              <w:right w:val="single" w:color="000000" w:sz="6" w:space="0"/>
            </w:tcBorders>
            <w:vAlign w:val="center"/>
          </w:tcPr>
          <w:p w14:paraId="3B17726E">
            <w:pPr>
              <w:rPr>
                <w:rFonts w:ascii="楷体" w:hAnsi="楷体" w:eastAsia="楷体" w:cs="楷体"/>
                <w:b w:val="0"/>
                <w:bCs w:val="0"/>
                <w:i w:val="0"/>
                <w:iCs w:val="0"/>
                <w:smallCaps w:val="0"/>
                <w:color w:val="000000"/>
                <w:sz w:val="21"/>
                <w:szCs w:val="21"/>
              </w:rPr>
            </w:pPr>
          </w:p>
        </w:tc>
        <w:tc>
          <w:tcPr>
            <w:vMerge w:val="continue"/>
            <w:tcBorders>
              <w:left w:val="single" w:color="000000" w:sz="6" w:space="0"/>
              <w:bottom w:val="single" w:color="000000" w:sz="6" w:space="0"/>
              <w:right w:val="single" w:color="000000" w:sz="6" w:space="0"/>
            </w:tcBorders>
            <w:vAlign w:val="center"/>
          </w:tcPr>
          <w:p w14:paraId="3C6CC28B">
            <w:pPr>
              <w:rPr>
                <w:rFonts w:ascii="楷体" w:hAnsi="楷体" w:eastAsia="楷体" w:cs="楷体"/>
                <w:b w:val="0"/>
                <w:bCs w:val="0"/>
                <w:i w:val="0"/>
                <w:iCs w:val="0"/>
                <w:smallCaps w:val="0"/>
                <w:color w:val="000000"/>
                <w:sz w:val="21"/>
                <w:szCs w:val="21"/>
              </w:rPr>
            </w:pP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F03DB3D">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1960年</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8674C44">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1970年</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69D3FC95">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1980年</w:t>
            </w:r>
          </w:p>
        </w:tc>
      </w:tr>
      <w:tr w14:paraId="2FA618D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right w:val="single" w:color="000000" w:sz="6" w:space="0"/>
            </w:tcBorders>
            <w:noWrap w:val="0"/>
            <w:tcMar>
              <w:top w:w="76" w:type="dxa"/>
              <w:left w:w="120" w:type="dxa"/>
              <w:bottom w:w="76" w:type="dxa"/>
              <w:right w:w="120" w:type="dxa"/>
            </w:tcMar>
            <w:vAlign w:val="center"/>
          </w:tcPr>
          <w:p w14:paraId="54304707">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北部</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32EBFD9A">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埃及</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5BFD37F8">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石油</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0FB5AF91">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53088FD0">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4.6</w:t>
            </w:r>
          </w:p>
        </w:tc>
        <w:tc>
          <w:tcPr>
            <w:tcBorders>
              <w:top w:val="single" w:color="000000" w:sz="6" w:space="0"/>
              <w:left w:val="single" w:color="000000" w:sz="6" w:space="0"/>
            </w:tcBorders>
            <w:noWrap w:val="0"/>
            <w:tcMar>
              <w:top w:w="76" w:type="dxa"/>
              <w:left w:w="120" w:type="dxa"/>
              <w:bottom w:w="76" w:type="dxa"/>
              <w:right w:w="120" w:type="dxa"/>
            </w:tcMar>
            <w:vAlign w:val="center"/>
          </w:tcPr>
          <w:p w14:paraId="160B797D">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57.8</w:t>
            </w:r>
          </w:p>
        </w:tc>
      </w:tr>
    </w:tbl>
    <w:p w14:paraId="1AB08681">
      <w:pPr>
        <w:widowControl w:val="0"/>
        <w:spacing w:before="0" w:after="0"/>
        <w:jc w:val="both"/>
        <w:rPr>
          <w:sz w:val="0"/>
          <w:szCs w:val="0"/>
        </w:rPr>
      </w:pPr>
      <w:r>
        <w:rPr>
          <w:strike w:val="0"/>
          <w:sz w:val="0"/>
          <w:szCs w:val="0"/>
          <w:u w:val="none"/>
        </w:rPr>
        <w:drawing>
          <wp:inline distT="0" distB="0" distL="114300" distR="114300">
            <wp:extent cx="28575" cy="28575"/>
            <wp:effectExtent l="0" t="0" r="0" b="0"/>
            <wp:docPr id="100203" name="图片 100203"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3" name="图片 100203" descr="page number 12"/>
                    <pic:cNvPicPr>
                      <a:picLocks noChangeAspect="1"/>
                    </pic:cNvPicPr>
                  </pic:nvPicPr>
                  <pic:blipFill>
                    <a:blip r:embed="rId24"/>
                    <a:stretch>
                      <a:fillRect/>
                    </a:stretch>
                  </pic:blipFill>
                  <pic:spPr>
                    <a:xfrm>
                      <a:off x="0" y="0"/>
                      <a:ext cx="28575" cy="28575"/>
                    </a:xfrm>
                    <a:prstGeom prst="rect">
                      <a:avLst/>
                    </a:prstGeom>
                  </pic:spPr>
                </pic:pic>
              </a:graphicData>
            </a:graphic>
          </wp:inline>
        </w:drawing>
      </w:r>
    </w:p>
    <w:p w14:paraId="68BE5C3C">
      <w:pPr>
        <w:sectPr>
          <w:headerReference r:id="rId13" w:type="default"/>
          <w:type w:val="continuous"/>
          <w:pgSz w:w="11927" w:h="16875"/>
          <w:pgMar w:top="800" w:right="1120" w:bottom="540" w:left="1120" w:header="708" w:footer="708" w:gutter="0"/>
          <w:cols w:space="708" w:num="1"/>
          <w:docGrid w:linePitch="360" w:charSpace="0"/>
        </w:sectPr>
      </w:pPr>
    </w:p>
    <w:tbl>
      <w:tblPr>
        <w:tblStyle w:val="4"/>
        <w:tblW w:w="0" w:type="auto"/>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660"/>
        <w:gridCol w:w="1290"/>
        <w:gridCol w:w="870"/>
        <w:gridCol w:w="660"/>
        <w:gridCol w:w="660"/>
        <w:gridCol w:w="660"/>
      </w:tblGrid>
      <w:tr w14:paraId="6A6EC7F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bottom w:val="single" w:color="000000" w:sz="6" w:space="0"/>
              <w:right w:val="single" w:color="000000" w:sz="6" w:space="0"/>
            </w:tcBorders>
            <w:noWrap w:val="0"/>
            <w:tcMar>
              <w:top w:w="76" w:type="dxa"/>
              <w:left w:w="120" w:type="dxa"/>
              <w:bottom w:w="76" w:type="dxa"/>
              <w:right w:w="120" w:type="dxa"/>
            </w:tcMar>
            <w:vAlign w:val="center"/>
          </w:tcPr>
          <w:p w14:paraId="72B34CAC">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非洲</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250C68A">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阿尔及利亚</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21A179B">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石油</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460FCE1">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DE50E96">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67.5</w:t>
            </w:r>
          </w:p>
        </w:tc>
        <w:tc>
          <w:tcPr>
            <w:tcBorders>
              <w:left w:val="single" w:color="000000" w:sz="6" w:space="0"/>
              <w:bottom w:val="single" w:color="000000" w:sz="6" w:space="0"/>
            </w:tcBorders>
            <w:noWrap w:val="0"/>
            <w:tcMar>
              <w:top w:w="76" w:type="dxa"/>
              <w:left w:w="120" w:type="dxa"/>
              <w:bottom w:w="76" w:type="dxa"/>
              <w:right w:w="120" w:type="dxa"/>
            </w:tcMar>
            <w:vAlign w:val="center"/>
          </w:tcPr>
          <w:p w14:paraId="3490FBCC">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91.6</w:t>
            </w:r>
          </w:p>
        </w:tc>
      </w:tr>
      <w:tr w14:paraId="038D46E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24524C4">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东部</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3ED5643">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埃塞俄比亚</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D83612E">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咖啡</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E917FD3">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49.0</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84C3683">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59.3</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58623F75">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64.1</w:t>
            </w:r>
          </w:p>
        </w:tc>
      </w:tr>
      <w:tr w14:paraId="65E4B76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644CE89">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非洲</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40912C2">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乌干达</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09FEB3E">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咖啡</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1EC5FBD">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36.9</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D14D6D3">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50.4</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19232BCC">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98.7</w:t>
            </w:r>
          </w:p>
        </w:tc>
      </w:tr>
      <w:tr w14:paraId="659EC97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94ADA83">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西部</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609DF95">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尼日利亚</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FC4BFB8">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石油</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175D7E4">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2.7</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A3E0EBF">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57.6</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657C5C62">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95.3</w:t>
            </w:r>
          </w:p>
        </w:tc>
      </w:tr>
      <w:tr w14:paraId="0E305FB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61C01A6">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非洲</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1D47E33">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利比里亚</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EB17897">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铁矿砂</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6AE8BD1">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41.9</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73A6B1C">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70.1</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613E0A23">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52.7</w:t>
            </w:r>
          </w:p>
        </w:tc>
      </w:tr>
      <w:tr w14:paraId="2690B75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DADE815">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中部</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C017C3D">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加蓬</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C297003">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石油</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84C6136">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21.4</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ADF7965">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34.3</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06712DDE">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62.3</w:t>
            </w:r>
          </w:p>
        </w:tc>
      </w:tr>
      <w:tr w14:paraId="340FE24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E7D20C6">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非洲</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42E3C6B">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刚果</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561BE0D">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石油</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A8DE060">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60AEBB4">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10.5</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525CDDA6">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77.9</w:t>
            </w:r>
          </w:p>
        </w:tc>
      </w:tr>
      <w:tr w14:paraId="1DED718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C0E7283">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南部</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7C009E0">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博茨瓦纳</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165D908">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钻石</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B6C728D">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65A321C">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14.7</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0D084CD3">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60.8</w:t>
            </w:r>
          </w:p>
        </w:tc>
      </w:tr>
      <w:tr w14:paraId="6211249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right w:val="single" w:color="000000" w:sz="6" w:space="0"/>
            </w:tcBorders>
            <w:noWrap w:val="0"/>
            <w:tcMar>
              <w:top w:w="76" w:type="dxa"/>
              <w:left w:w="120" w:type="dxa"/>
              <w:bottom w:w="76" w:type="dxa"/>
              <w:right w:w="120" w:type="dxa"/>
            </w:tcMar>
            <w:vAlign w:val="center"/>
          </w:tcPr>
          <w:p w14:paraId="4CEC1919">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非洲</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2F86F7C4">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赞比亚</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14A2F283">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铜</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2898D779">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276C2737">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95.2</w:t>
            </w:r>
          </w:p>
        </w:tc>
        <w:tc>
          <w:tcPr>
            <w:tcBorders>
              <w:top w:val="single" w:color="000000" w:sz="6" w:space="0"/>
              <w:left w:val="single" w:color="000000" w:sz="6" w:space="0"/>
            </w:tcBorders>
            <w:noWrap w:val="0"/>
            <w:tcMar>
              <w:top w:w="76" w:type="dxa"/>
              <w:left w:w="120" w:type="dxa"/>
              <w:bottom w:w="76" w:type="dxa"/>
              <w:right w:w="120" w:type="dxa"/>
            </w:tcMar>
            <w:vAlign w:val="center"/>
          </w:tcPr>
          <w:p w14:paraId="6F5EDB19">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91.3</w:t>
            </w:r>
          </w:p>
        </w:tc>
      </w:tr>
    </w:tbl>
    <w:p w14:paraId="16937749">
      <w:pPr>
        <w:widowControl w:val="0"/>
        <w:spacing w:before="0" w:after="0" w:line="360" w:lineRule="auto"/>
        <w:ind w:firstLine="420"/>
        <w:jc w:val="right"/>
        <w:rPr>
          <w:sz w:val="21"/>
          <w:szCs w:val="21"/>
        </w:rPr>
      </w:pPr>
      <w:r>
        <w:rPr>
          <w:rFonts w:ascii="楷体" w:hAnsi="楷体" w:eastAsia="楷体" w:cs="楷体"/>
          <w:sz w:val="21"/>
          <w:szCs w:val="21"/>
        </w:rPr>
        <w:t>——摘编自[肯尼亚]A．A．马兹鲁伊主编《非洲通史》（第八卷）</w:t>
      </w:r>
    </w:p>
    <w:p w14:paraId="2FCE2F04">
      <w:pPr>
        <w:widowControl w:val="0"/>
        <w:spacing w:before="0" w:after="0" w:line="360" w:lineRule="auto"/>
        <w:ind w:firstLine="420"/>
        <w:rPr>
          <w:sz w:val="21"/>
          <w:szCs w:val="21"/>
        </w:rPr>
      </w:pPr>
      <w:r>
        <w:rPr>
          <w:rFonts w:ascii="楷体" w:hAnsi="楷体" w:eastAsia="楷体" w:cs="楷体"/>
          <w:sz w:val="21"/>
          <w:szCs w:val="21"/>
        </w:rPr>
        <w:t>材料二  1962—1995年，法国在非洲总共进行了19次军事行动。与非洲法语区国家共签订了23个军事合作协定。法国军队在其中六个国家执行“提高影响力的任务”：喀麦隆（10人）、吉布提（3500人）、加蓬（610人）、科特迪瓦（580人）、中非共和国（1500人）、塞内加尔（1300人）。</w:t>
      </w:r>
    </w:p>
    <w:p w14:paraId="488CFEBB">
      <w:pPr>
        <w:widowControl w:val="0"/>
        <w:spacing w:before="0" w:after="0" w:line="360" w:lineRule="auto"/>
        <w:ind w:firstLine="420"/>
        <w:jc w:val="right"/>
        <w:rPr>
          <w:sz w:val="21"/>
          <w:szCs w:val="21"/>
        </w:rPr>
      </w:pPr>
      <w:r>
        <w:rPr>
          <w:rFonts w:ascii="楷体" w:hAnsi="楷体" w:eastAsia="楷体" w:cs="楷体"/>
          <w:sz w:val="21"/>
          <w:szCs w:val="21"/>
        </w:rPr>
        <w:t>——摘编自[法]多米尼克·马亚尔《从历史角度看法国在非洲的军事存在》</w:t>
      </w:r>
    </w:p>
    <w:p w14:paraId="40FA417D">
      <w:pPr>
        <w:widowControl w:val="0"/>
        <w:spacing w:before="0" w:after="0" w:line="360" w:lineRule="auto"/>
        <w:ind w:firstLine="420"/>
        <w:rPr>
          <w:sz w:val="21"/>
          <w:szCs w:val="21"/>
        </w:rPr>
      </w:pPr>
      <w:r>
        <w:rPr>
          <w:rFonts w:ascii="楷体" w:hAnsi="楷体" w:eastAsia="楷体" w:cs="楷体"/>
          <w:sz w:val="21"/>
          <w:szCs w:val="21"/>
        </w:rPr>
        <w:t>材料三</w:t>
      </w:r>
    </w:p>
    <w:tbl>
      <w:tblPr>
        <w:tblStyle w:val="4"/>
        <w:tblW w:w="7080"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990"/>
        <w:gridCol w:w="6090"/>
      </w:tblGrid>
      <w:tr w14:paraId="47A7CF8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990" w:type="dxa"/>
            <w:tcBorders>
              <w:bottom w:val="single" w:color="000000" w:sz="6" w:space="0"/>
              <w:right w:val="single" w:color="000000" w:sz="6" w:space="0"/>
            </w:tcBorders>
            <w:noWrap w:val="0"/>
            <w:tcMar>
              <w:top w:w="76" w:type="dxa"/>
              <w:left w:w="120" w:type="dxa"/>
              <w:bottom w:w="76" w:type="dxa"/>
              <w:right w:w="120" w:type="dxa"/>
            </w:tcMar>
            <w:vAlign w:val="center"/>
          </w:tcPr>
          <w:p w14:paraId="43E60249">
            <w:pPr>
              <w:widowControl w:val="0"/>
              <w:spacing w:before="0" w:after="0" w:line="360" w:lineRule="auto"/>
              <w:ind w:firstLine="420"/>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甲</w:t>
            </w:r>
          </w:p>
        </w:tc>
        <w:tc>
          <w:tcPr>
            <w:tcW w:w="6090" w:type="dxa"/>
            <w:tcBorders>
              <w:left w:val="single" w:color="000000" w:sz="6" w:space="0"/>
              <w:bottom w:val="single" w:color="000000" w:sz="6" w:space="0"/>
            </w:tcBorders>
            <w:noWrap w:val="0"/>
            <w:tcMar>
              <w:top w:w="76" w:type="dxa"/>
              <w:left w:w="120" w:type="dxa"/>
              <w:bottom w:w="76" w:type="dxa"/>
              <w:right w:w="120" w:type="dxa"/>
            </w:tcMar>
            <w:vAlign w:val="center"/>
          </w:tcPr>
          <w:p w14:paraId="61AFCD60">
            <w:pPr>
              <w:widowControl w:val="0"/>
              <w:spacing w:before="0" w:after="0" w:line="360" w:lineRule="auto"/>
              <w:ind w:firstLine="420"/>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1963年10月，牛津大学教授休·特雷弗-罗珀在一次讲座中称：非洲新的统治者们所立足的都是欧洲创建的文明基础，是欧洲的技术、欧洲的榜样和欧洲的思想让非洲世界走出野蛮时代，与过去的传统分隔开来。非洲过去的历史，如果有意义的话，就在于它是欧洲的历史。</w:t>
            </w:r>
          </w:p>
          <w:p w14:paraId="010AD3D2">
            <w:pPr>
              <w:widowControl w:val="0"/>
              <w:spacing w:before="0" w:after="0" w:line="360" w:lineRule="auto"/>
              <w:ind w:firstLine="420"/>
              <w:rPr>
                <w:b w:val="0"/>
                <w:bCs w:val="0"/>
                <w:i w:val="0"/>
                <w:iCs w:val="0"/>
                <w:smallCaps w:val="0"/>
                <w:color w:val="000000"/>
                <w:sz w:val="21"/>
                <w:szCs w:val="21"/>
              </w:rPr>
            </w:pPr>
          </w:p>
        </w:tc>
      </w:tr>
      <w:tr w14:paraId="648A3D1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990" w:type="dxa"/>
            <w:tcBorders>
              <w:top w:val="single" w:color="000000" w:sz="6" w:space="0"/>
              <w:right w:val="single" w:color="000000" w:sz="6" w:space="0"/>
            </w:tcBorders>
            <w:noWrap w:val="0"/>
            <w:tcMar>
              <w:top w:w="76" w:type="dxa"/>
              <w:left w:w="120" w:type="dxa"/>
              <w:bottom w:w="76" w:type="dxa"/>
              <w:right w:w="120" w:type="dxa"/>
            </w:tcMar>
            <w:vAlign w:val="center"/>
          </w:tcPr>
          <w:p w14:paraId="0BA25D6E">
            <w:pPr>
              <w:widowControl w:val="0"/>
              <w:spacing w:before="0" w:after="0" w:line="360" w:lineRule="auto"/>
              <w:ind w:firstLine="420"/>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乙</w:t>
            </w:r>
          </w:p>
          <w:p w14:paraId="3B59AB2C">
            <w:pPr>
              <w:widowControl w:val="0"/>
              <w:spacing w:before="0" w:after="0" w:line="360" w:lineRule="auto"/>
              <w:ind w:firstLine="420"/>
              <w:rPr>
                <w:b w:val="0"/>
                <w:bCs w:val="0"/>
                <w:i w:val="0"/>
                <w:iCs w:val="0"/>
                <w:smallCaps w:val="0"/>
                <w:color w:val="000000"/>
                <w:sz w:val="21"/>
                <w:szCs w:val="21"/>
              </w:rPr>
            </w:pPr>
          </w:p>
        </w:tc>
        <w:tc>
          <w:tcPr>
            <w:tcW w:w="6090" w:type="dxa"/>
            <w:tcBorders>
              <w:top w:val="single" w:color="000000" w:sz="6" w:space="0"/>
              <w:left w:val="single" w:color="000000" w:sz="6" w:space="0"/>
            </w:tcBorders>
            <w:noWrap w:val="0"/>
            <w:tcMar>
              <w:top w:w="76" w:type="dxa"/>
              <w:left w:w="120" w:type="dxa"/>
              <w:bottom w:w="76" w:type="dxa"/>
              <w:right w:w="120" w:type="dxa"/>
            </w:tcMar>
            <w:vAlign w:val="center"/>
          </w:tcPr>
          <w:p w14:paraId="390B90C3">
            <w:pPr>
              <w:widowControl w:val="0"/>
              <w:spacing w:before="0" w:after="0" w:line="360" w:lineRule="auto"/>
              <w:ind w:firstLine="420"/>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1999年8月，尼日利亚的牧师瑞弗伦德·苏尖锐批评说：“大多数受过教育的尼日利亚人民，他们都是外国行为方式的模仿者，喜欢在我们面前炫耀他们的欧美超道德（实际是非道德的）倾向……”</w:t>
            </w:r>
          </w:p>
        </w:tc>
      </w:tr>
    </w:tbl>
    <w:p w14:paraId="42D66A2B">
      <w:pPr>
        <w:widowControl w:val="0"/>
        <w:spacing w:before="0" w:after="0" w:line="360" w:lineRule="auto"/>
        <w:ind w:firstLine="420"/>
        <w:jc w:val="right"/>
        <w:rPr>
          <w:sz w:val="21"/>
          <w:szCs w:val="21"/>
        </w:rPr>
      </w:pPr>
      <w:r>
        <w:rPr>
          <w:rFonts w:ascii="楷体" w:hAnsi="楷体" w:eastAsia="楷体" w:cs="楷体"/>
          <w:sz w:val="21"/>
          <w:szCs w:val="21"/>
        </w:rPr>
        <w:t>——摘编自[加纳]乔治·B．N．阿耶提《解放后的非洲：非洲未来发展的蓝图》等</w:t>
      </w:r>
    </w:p>
    <w:p w14:paraId="03D1BA01">
      <w:pPr>
        <w:widowControl w:val="0"/>
        <w:spacing w:before="0" w:after="0" w:line="360" w:lineRule="auto"/>
        <w:rPr>
          <w:sz w:val="21"/>
          <w:szCs w:val="21"/>
        </w:rPr>
      </w:pPr>
      <w:r>
        <w:rPr>
          <w:rFonts w:ascii="宋体" w:hAnsi="宋体" w:eastAsia="宋体" w:cs="宋体"/>
          <w:sz w:val="21"/>
          <w:szCs w:val="21"/>
        </w:rPr>
        <w:t>分析说明什么是“真正的解放”。</w:t>
      </w:r>
    </w:p>
    <w:p w14:paraId="5C775B6C">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论题：真正的解放是政治、经济、军事、思想文化等全方位的解放，而不仅仅是政治的独立。</w:t>
      </w:r>
    </w:p>
    <w:p w14:paraId="43A67AEA">
      <w:pPr>
        <w:widowControl w:val="0"/>
        <w:spacing w:before="0" w:after="0" w:line="360" w:lineRule="auto"/>
        <w:rPr>
          <w:sz w:val="21"/>
          <w:szCs w:val="21"/>
        </w:rPr>
      </w:pPr>
      <w:r>
        <w:rPr>
          <w:rFonts w:ascii="宋体" w:hAnsi="宋体" w:eastAsia="宋体" w:cs="宋体"/>
          <w:sz w:val="21"/>
          <w:szCs w:val="21"/>
        </w:rPr>
        <w:t>分析说明：二战后，亚非拉美殖民地半殖民地迎来了民族解放的潮，大部分国家都在</w:t>
      </w:r>
      <w:r>
        <w:rPr>
          <w:sz w:val="21"/>
          <w:szCs w:val="21"/>
        </w:rPr>
        <w:t>19</w:t>
      </w:r>
      <w:r>
        <w:rPr>
          <w:rFonts w:ascii="宋体" w:hAnsi="宋体" w:eastAsia="宋体" w:cs="宋体"/>
          <w:sz w:val="21"/>
          <w:szCs w:val="21"/>
        </w:rPr>
        <w:t>世纪</w:t>
      </w:r>
      <w:r>
        <w:rPr>
          <w:sz w:val="21"/>
          <w:szCs w:val="21"/>
        </w:rPr>
        <w:t>60-70</w:t>
      </w:r>
      <w:r>
        <w:rPr>
          <w:rFonts w:ascii="宋体" w:hAnsi="宋体" w:eastAsia="宋体" w:cs="宋体"/>
          <w:sz w:val="21"/>
          <w:szCs w:val="21"/>
        </w:rPr>
        <w:t>年代获得了政治的独立，建立了自己的民族国家，但是，这并不意味着它们真正实现了民族解放，这些国家的经</w:t>
      </w:r>
      <w:r>
        <w:rPr>
          <w:strike w:val="0"/>
          <w:sz w:val="21"/>
          <w:szCs w:val="21"/>
          <w:u w:val="none"/>
        </w:rPr>
        <w:drawing>
          <wp:inline distT="0" distB="0" distL="114300" distR="114300">
            <wp:extent cx="28575" cy="28575"/>
            <wp:effectExtent l="0" t="0" r="0" b="0"/>
            <wp:docPr id="100217" name="图片 100217" descr="page numbe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7" name="图片 100217" descr="page number 13"/>
                    <pic:cNvPicPr>
                      <a:picLocks noChangeAspect="1"/>
                    </pic:cNvPicPr>
                  </pic:nvPicPr>
                  <pic:blipFill>
                    <a:blip r:embed="rId24"/>
                    <a:stretch>
                      <a:fillRect/>
                    </a:stretch>
                  </pic:blipFill>
                  <pic:spPr>
                    <a:xfrm>
                      <a:off x="0" y="0"/>
                      <a:ext cx="28575" cy="28575"/>
                    </a:xfrm>
                    <a:prstGeom prst="rect">
                      <a:avLst/>
                    </a:prstGeom>
                  </pic:spPr>
                </pic:pic>
              </a:graphicData>
            </a:graphic>
          </wp:inline>
        </w:drawing>
      </w:r>
    </w:p>
    <w:p w14:paraId="74430AFE">
      <w:pPr>
        <w:sectPr>
          <w:headerReference r:id="rId14" w:type="default"/>
          <w:type w:val="continuous"/>
          <w:pgSz w:w="11927" w:h="16875"/>
          <w:pgMar w:top="800" w:right="1120" w:bottom="540" w:left="1120" w:header="708" w:footer="708" w:gutter="0"/>
          <w:cols w:space="708" w:num="1"/>
          <w:docGrid w:linePitch="360" w:charSpace="0"/>
        </w:sectPr>
      </w:pPr>
    </w:p>
    <w:p w14:paraId="2F9D341A">
      <w:pPr>
        <w:widowControl w:val="0"/>
        <w:spacing w:before="0" w:after="0" w:line="360" w:lineRule="auto"/>
        <w:rPr>
          <w:sz w:val="21"/>
          <w:szCs w:val="21"/>
        </w:rPr>
      </w:pPr>
      <w:r>
        <w:rPr>
          <w:rFonts w:ascii="宋体" w:hAnsi="宋体" w:eastAsia="宋体" w:cs="宋体"/>
          <w:sz w:val="21"/>
          <w:szCs w:val="21"/>
        </w:rPr>
        <w:t>济、军事、思想等依然受原先宗主国和欧美发达国家的巨大影响，制约着它们的发展，无法实现真正的解放。经济上，由“</w:t>
      </w:r>
      <w:r>
        <w:rPr>
          <w:sz w:val="21"/>
          <w:szCs w:val="21"/>
        </w:rPr>
        <w:t>1960—1980</w:t>
      </w:r>
      <w:r>
        <w:rPr>
          <w:rFonts w:ascii="宋体" w:hAnsi="宋体" w:eastAsia="宋体" w:cs="宋体"/>
          <w:sz w:val="21"/>
          <w:szCs w:val="21"/>
        </w:rPr>
        <w:t>年部分非洲国家主要商品出口情况统计表”可以看出，大部分非洲国家独立之后主要的能源出口比例在出口总值中占比反而不断提高，这说明，这些国家实现民族独立后，经济依然受欧美发达国家的影响，沦为了它们的资源供应国，在世界贸易中处于劣势，不利于国家经济的独立和全面的发展；军事上，根据材料“</w:t>
      </w:r>
      <w:r>
        <w:rPr>
          <w:sz w:val="21"/>
          <w:szCs w:val="21"/>
        </w:rPr>
        <w:t>1962—1995</w:t>
      </w:r>
      <w:r>
        <w:rPr>
          <w:rFonts w:ascii="宋体" w:hAnsi="宋体" w:eastAsia="宋体" w:cs="宋体"/>
          <w:sz w:val="21"/>
          <w:szCs w:val="21"/>
        </w:rPr>
        <w:t>年，法国在非洲总共进行了</w:t>
      </w:r>
      <w:r>
        <w:rPr>
          <w:sz w:val="21"/>
          <w:szCs w:val="21"/>
        </w:rPr>
        <w:t>19</w:t>
      </w:r>
      <w:r>
        <w:rPr>
          <w:rFonts w:ascii="宋体" w:hAnsi="宋体" w:eastAsia="宋体" w:cs="宋体"/>
          <w:sz w:val="21"/>
          <w:szCs w:val="21"/>
        </w:rPr>
        <w:t>次军事行动。与非洲法语区国家共签订了</w:t>
      </w:r>
      <w:r>
        <w:rPr>
          <w:sz w:val="21"/>
          <w:szCs w:val="21"/>
        </w:rPr>
        <w:t>23</w:t>
      </w:r>
      <w:r>
        <w:rPr>
          <w:rFonts w:ascii="宋体" w:hAnsi="宋体" w:eastAsia="宋体" w:cs="宋体"/>
          <w:sz w:val="21"/>
          <w:szCs w:val="21"/>
        </w:rPr>
        <w:t>个军事合作协定。法国军队在其中六个国家执行提高影响力的任务</w:t>
      </w:r>
      <w:r>
        <w:rPr>
          <w:sz w:val="21"/>
          <w:szCs w:val="21"/>
        </w:rPr>
        <w:t>’</w:t>
      </w:r>
      <w:r>
        <w:rPr>
          <w:rFonts w:ascii="宋体" w:hAnsi="宋体" w:eastAsia="宋体" w:cs="宋体"/>
          <w:sz w:val="21"/>
          <w:szCs w:val="21"/>
        </w:rPr>
        <w:t>”可以看出，即使这些非洲国家名义上获得了政治的独立，但依然受到法国军事影响，由于军事实力的差距，非洲国家无法实现军事的独立，国家国防安全无法保障；思想文化上，根据材料“非洲新的统治者们所立足的都是欧洲创建的文明基础，是欧洲的技术、欧洲的榜样和欧洲的思想”、“大多数受过教育的尼日利亚人民，他们都是外国行为方式的模仿者”，可以看出，虽然大部分非洲国家实现了政治的独立，但思想文化依然受欧洲文化影响深重，并没有创造出属于自己的思想文化，改造国民的观念，实现本民族的文化自信。</w:t>
      </w:r>
    </w:p>
    <w:p w14:paraId="5AE18561">
      <w:pPr>
        <w:widowControl w:val="0"/>
        <w:spacing w:before="0" w:after="0" w:line="360" w:lineRule="auto"/>
        <w:rPr>
          <w:sz w:val="21"/>
          <w:szCs w:val="21"/>
        </w:rPr>
      </w:pPr>
      <w:r>
        <w:rPr>
          <w:rFonts w:ascii="宋体" w:hAnsi="宋体" w:eastAsia="宋体" w:cs="宋体"/>
          <w:sz w:val="21"/>
          <w:szCs w:val="21"/>
        </w:rPr>
        <w:t>综上，我们可知，真正的解放应该是政治军事的独立与自主，经济的自主与发展，思想文化上的解放与创新，而不仅仅是政治上的独立，国家只有全方位的解放，才是真正的解放。</w:t>
      </w:r>
    </w:p>
    <w:p w14:paraId="21C13805">
      <w:pPr>
        <w:widowControl w:val="0"/>
        <w:spacing w:before="0" w:after="0" w:line="360" w:lineRule="auto"/>
        <w:jc w:val="both"/>
        <w:rPr>
          <w:sz w:val="21"/>
          <w:szCs w:val="21"/>
        </w:rPr>
      </w:pPr>
      <w:r>
        <w:rPr>
          <w:rFonts w:ascii="宋体" w:hAnsi="宋体" w:eastAsia="宋体" w:cs="宋体"/>
          <w:color w:val="2E75B6"/>
          <w:sz w:val="21"/>
          <w:szCs w:val="21"/>
        </w:rPr>
        <w:t>【解析】</w:t>
      </w:r>
    </w:p>
    <w:p w14:paraId="7828D329">
      <w:pPr>
        <w:widowControl w:val="0"/>
        <w:spacing w:before="0" w:after="0" w:line="360" w:lineRule="auto"/>
        <w:rPr>
          <w:sz w:val="21"/>
          <w:szCs w:val="21"/>
        </w:rPr>
      </w:pPr>
      <w:r>
        <w:rPr>
          <w:rFonts w:ascii="宋体" w:hAnsi="宋体" w:eastAsia="宋体" w:cs="宋体"/>
          <w:sz w:val="21"/>
          <w:szCs w:val="21"/>
        </w:rPr>
        <w:t>【详解】本题是论述题之历史事物阐释题，时空是二战后的非洲。首先，阅读材料，拟定论题，如由材料“</w:t>
      </w:r>
      <w:r>
        <w:rPr>
          <w:sz w:val="21"/>
          <w:szCs w:val="21"/>
        </w:rPr>
        <w:t>1960—1980</w:t>
      </w:r>
      <w:r>
        <w:rPr>
          <w:rFonts w:ascii="宋体" w:hAnsi="宋体" w:eastAsia="宋体" w:cs="宋体"/>
          <w:sz w:val="21"/>
          <w:szCs w:val="21"/>
        </w:rPr>
        <w:t>年部分非洲国家主要商品出口情况统计表”、“</w:t>
      </w:r>
      <w:r>
        <w:rPr>
          <w:sz w:val="21"/>
          <w:szCs w:val="21"/>
        </w:rPr>
        <w:t>1962—1995</w:t>
      </w:r>
      <w:r>
        <w:rPr>
          <w:rFonts w:ascii="宋体" w:hAnsi="宋体" w:eastAsia="宋体" w:cs="宋体"/>
          <w:sz w:val="21"/>
          <w:szCs w:val="21"/>
        </w:rPr>
        <w:t>年，法国在非洲总共进行了</w:t>
      </w:r>
      <w:r>
        <w:rPr>
          <w:sz w:val="21"/>
          <w:szCs w:val="21"/>
        </w:rPr>
        <w:t>19</w:t>
      </w:r>
      <w:r>
        <w:rPr>
          <w:rFonts w:ascii="宋体" w:hAnsi="宋体" w:eastAsia="宋体" w:cs="宋体"/>
          <w:sz w:val="21"/>
          <w:szCs w:val="21"/>
        </w:rPr>
        <w:t>次军事行动 ”、“非洲新的统治者们所立足的都是欧洲创建的文明基础，是欧洲的技术、欧洲的榜样和欧洲的思想”可知，本题的主旨是真正的解放是政治、经济、军事、思想等全方位的解放，故可以拟定论题为：真正的解放是政治、经济、军事、思想文化等全方位的解放，而不仅仅是政治的独立。然后结合材料内容和所学知识进行分析说明，如二战后，亚非拉美殖民地半殖民地迎来了民族解放的潮，大部分国家都在</w:t>
      </w:r>
      <w:r>
        <w:rPr>
          <w:sz w:val="21"/>
          <w:szCs w:val="21"/>
        </w:rPr>
        <w:t>19</w:t>
      </w:r>
      <w:r>
        <w:rPr>
          <w:rFonts w:ascii="宋体" w:hAnsi="宋体" w:eastAsia="宋体" w:cs="宋体"/>
          <w:sz w:val="21"/>
          <w:szCs w:val="21"/>
        </w:rPr>
        <w:t>世纪</w:t>
      </w:r>
      <w:r>
        <w:rPr>
          <w:sz w:val="21"/>
          <w:szCs w:val="21"/>
        </w:rPr>
        <w:t>60-70</w:t>
      </w:r>
      <w:r>
        <w:rPr>
          <w:rFonts w:ascii="宋体" w:hAnsi="宋体" w:eastAsia="宋体" w:cs="宋体"/>
          <w:sz w:val="21"/>
          <w:szCs w:val="21"/>
        </w:rPr>
        <w:t>年代获得了政治的独立，建立了自己的民族国家，但是，这并不意味着它们真正实现了民族解放，这些国家的经济、军事、思想等依然受原先宗主国和欧美发达国家的巨大影响，制约着它们的发展，无法实现真正的解放。经济上，由“</w:t>
      </w:r>
      <w:r>
        <w:rPr>
          <w:sz w:val="21"/>
          <w:szCs w:val="21"/>
        </w:rPr>
        <w:t>1960—1980</w:t>
      </w:r>
      <w:r>
        <w:rPr>
          <w:rFonts w:ascii="宋体" w:hAnsi="宋体" w:eastAsia="宋体" w:cs="宋体"/>
          <w:sz w:val="21"/>
          <w:szCs w:val="21"/>
        </w:rPr>
        <w:t>年部分非洲国家主要商品出口情况统计表”可以看出，大部分非洲国家独立之后主要的能源出口比例在出口总值中占比反而不断提高，这说明，这些国家实现民族独立后，经济依然受欧美发达国家的影响，沦为了它们的资源供应国，在世界贸易中处于劣势，不利于国家经济的独立和全面的发展；军事上，根据材料“</w:t>
      </w:r>
      <w:r>
        <w:rPr>
          <w:sz w:val="21"/>
          <w:szCs w:val="21"/>
        </w:rPr>
        <w:t>1962—1995</w:t>
      </w:r>
      <w:r>
        <w:rPr>
          <w:rFonts w:ascii="宋体" w:hAnsi="宋体" w:eastAsia="宋体" w:cs="宋体"/>
          <w:sz w:val="21"/>
          <w:szCs w:val="21"/>
        </w:rPr>
        <w:t>年，法国在非洲总共进行了</w:t>
      </w:r>
      <w:r>
        <w:rPr>
          <w:sz w:val="21"/>
          <w:szCs w:val="21"/>
        </w:rPr>
        <w:t>19</w:t>
      </w:r>
      <w:r>
        <w:rPr>
          <w:rFonts w:ascii="宋体" w:hAnsi="宋体" w:eastAsia="宋体" w:cs="宋体"/>
          <w:sz w:val="21"/>
          <w:szCs w:val="21"/>
        </w:rPr>
        <w:t>次军事行动。与非洲法语区国家共签订了</w:t>
      </w:r>
      <w:r>
        <w:rPr>
          <w:sz w:val="21"/>
          <w:szCs w:val="21"/>
        </w:rPr>
        <w:t>23</w:t>
      </w:r>
      <w:r>
        <w:rPr>
          <w:rFonts w:ascii="宋体" w:hAnsi="宋体" w:eastAsia="宋体" w:cs="宋体"/>
          <w:sz w:val="21"/>
          <w:szCs w:val="21"/>
        </w:rPr>
        <w:t>个军事合作协定。法国军队在其中六个国家执行提高影响力的任务</w:t>
      </w:r>
      <w:r>
        <w:rPr>
          <w:sz w:val="21"/>
          <w:szCs w:val="21"/>
        </w:rPr>
        <w:t>’</w:t>
      </w:r>
      <w:r>
        <w:rPr>
          <w:rFonts w:ascii="宋体" w:hAnsi="宋体" w:eastAsia="宋体" w:cs="宋体"/>
          <w:sz w:val="21"/>
          <w:szCs w:val="21"/>
        </w:rPr>
        <w:t>”可以看出，即使这些非洲国家名义上获得了政治的独立，但依然受到法国军事影响，由于军事实力的差距，非洲国家无法实现军事的独立，国家国防安全无法保障；思想文化上，根据材料“非洲新的统治者们所立足的都是欧洲创建的文明基础，是欧洲的技术、欧洲的榜样和欧洲的思想”、“大多数受过教育的尼日利亚人民，他们都是外国行为方式的模仿者”，可以看出，虽然大部分非洲国家实现了政治的独立，</w:t>
      </w:r>
      <w:r>
        <w:rPr>
          <w:strike w:val="0"/>
          <w:sz w:val="21"/>
          <w:szCs w:val="21"/>
          <w:u w:val="none"/>
        </w:rPr>
        <w:drawing>
          <wp:inline distT="0" distB="0" distL="114300" distR="114300">
            <wp:extent cx="28575" cy="28575"/>
            <wp:effectExtent l="0" t="0" r="0" b="0"/>
            <wp:docPr id="100231" name="图片 100231" descr="page number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1" name="图片 100231" descr="page number 14"/>
                    <pic:cNvPicPr>
                      <a:picLocks noChangeAspect="1"/>
                    </pic:cNvPicPr>
                  </pic:nvPicPr>
                  <pic:blipFill>
                    <a:blip r:embed="rId24"/>
                    <a:stretch>
                      <a:fillRect/>
                    </a:stretch>
                  </pic:blipFill>
                  <pic:spPr>
                    <a:xfrm>
                      <a:off x="0" y="0"/>
                      <a:ext cx="28575" cy="28575"/>
                    </a:xfrm>
                    <a:prstGeom prst="rect">
                      <a:avLst/>
                    </a:prstGeom>
                  </pic:spPr>
                </pic:pic>
              </a:graphicData>
            </a:graphic>
          </wp:inline>
        </w:drawing>
      </w:r>
    </w:p>
    <w:p w14:paraId="5011911C">
      <w:pPr>
        <w:sectPr>
          <w:headerReference r:id="rId15" w:type="default"/>
          <w:type w:val="continuous"/>
          <w:pgSz w:w="11927" w:h="16875"/>
          <w:pgMar w:top="800" w:right="1120" w:bottom="540" w:left="1120" w:header="708" w:footer="708" w:gutter="0"/>
          <w:cols w:space="708" w:num="1"/>
          <w:docGrid w:linePitch="360" w:charSpace="0"/>
        </w:sectPr>
      </w:pPr>
    </w:p>
    <w:p w14:paraId="143DB428">
      <w:pPr>
        <w:widowControl w:val="0"/>
        <w:spacing w:before="0" w:after="0" w:line="360" w:lineRule="auto"/>
        <w:rPr>
          <w:sz w:val="21"/>
          <w:szCs w:val="21"/>
        </w:rPr>
      </w:pPr>
      <w:r>
        <w:rPr>
          <w:rFonts w:ascii="宋体" w:hAnsi="宋体" w:eastAsia="宋体" w:cs="宋体"/>
          <w:sz w:val="21"/>
          <w:szCs w:val="21"/>
        </w:rPr>
        <w:t>但思想文化依然受欧洲文化影响深重，并没有创造出属于自己的思想文化，改造国民的观念，实现本民族的文化自信。最后总结归纳，完成表述。</w:t>
      </w:r>
    </w:p>
    <w:p w14:paraId="0C695EE6">
      <w:pPr>
        <w:widowControl w:val="0"/>
        <w:spacing w:before="0" w:after="0" w:line="360" w:lineRule="auto"/>
        <w:jc w:val="both"/>
        <w:rPr>
          <w:sz w:val="21"/>
          <w:szCs w:val="21"/>
        </w:rPr>
      </w:pPr>
      <w:r>
        <w:rPr>
          <w:strike w:val="0"/>
          <w:sz w:val="21"/>
          <w:szCs w:val="21"/>
          <w:u w:val="none"/>
        </w:rPr>
        <w:drawing>
          <wp:inline distT="0" distB="0" distL="114300" distR="114300">
            <wp:extent cx="28575" cy="28575"/>
            <wp:effectExtent l="0" t="0" r="0" b="0"/>
            <wp:docPr id="100245" name="图片 100245" descr="page number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5" name="图片 100245" descr="page number 15"/>
                    <pic:cNvPicPr>
                      <a:picLocks noChangeAspect="1"/>
                    </pic:cNvPicPr>
                  </pic:nvPicPr>
                  <pic:blipFill>
                    <a:blip r:embed="rId24"/>
                    <a:stretch>
                      <a:fillRect/>
                    </a:stretch>
                  </pic:blipFill>
                  <pic:spPr>
                    <a:xfrm>
                      <a:off x="0" y="0"/>
                      <a:ext cx="28575" cy="28575"/>
                    </a:xfrm>
                    <a:prstGeom prst="rect">
                      <a:avLst/>
                    </a:prstGeom>
                  </pic:spPr>
                </pic:pic>
              </a:graphicData>
            </a:graphic>
          </wp:inline>
        </w:drawing>
      </w:r>
    </w:p>
    <w:p w14:paraId="3E424FC3"/>
    <w:p w14:paraId="6E1E4C62"/>
    <w:p w14:paraId="4F742E0C"/>
    <w:sectPr>
      <w:headerReference r:id="rId18" w:type="first"/>
      <w:footerReference r:id="rId21" w:type="first"/>
      <w:headerReference r:id="rId16" w:type="default"/>
      <w:footerReference r:id="rId19" w:type="default"/>
      <w:headerReference r:id="rId17" w:type="even"/>
      <w:footerReference r:id="rId20"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056D74">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7816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36357B"/>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03189">
    <w:pPr>
      <w:pStyle w:val="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CCB34">
    <w:pPr>
      <w:pStyle w:val="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60B40B">
    <w:pPr>
      <w:pStyle w:val="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47AE5">
    <w:pPr>
      <w:pStyle w:val="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D19744">
    <w:pPr>
      <w:pStyle w:val="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3AB31">
    <w:pPr>
      <w:pStyle w:val="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1436E"/>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5A8D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48A99">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414DDE">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67382">
    <w:pPr>
      <w:pStyle w:val="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831366">
    <w:pPr>
      <w:pStyle w:val="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95C4A">
    <w:pPr>
      <w:pStyle w:val="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8E2301">
    <w:pPr>
      <w:pStyle w:val="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10493">
    <w:pPr>
      <w:pStyle w:val="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4ABC03">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JlZGVlOTE3YTVjZWIyNzg2ZWFhNTZjMDQ1NWE4NmMifQ=="/>
  </w:docVars>
  <w:rsids>
    <w:rsidRoot w:val="00A77B3E"/>
    <w:rsid w:val="00A77B3E"/>
    <w:rsid w:val="00CA2A55"/>
    <w:rsid w:val="603E0E79"/>
    <w:rsid w:val="6ACF58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7.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4" Type="http://schemas.openxmlformats.org/officeDocument/2006/relationships/fontTable" Target="fontTable.xml"/><Relationship Id="rId33" Type="http://schemas.openxmlformats.org/officeDocument/2006/relationships/image" Target="media/image11.png"/><Relationship Id="rId32" Type="http://schemas.openxmlformats.org/officeDocument/2006/relationships/image" Target="media/image10.png"/><Relationship Id="rId31" Type="http://schemas.openxmlformats.org/officeDocument/2006/relationships/image" Target="media/image9.png"/><Relationship Id="rId30" Type="http://schemas.openxmlformats.org/officeDocument/2006/relationships/image" Target="media/image8.png"/><Relationship Id="rId3" Type="http://schemas.openxmlformats.org/officeDocument/2006/relationships/header" Target="header1.xml"/><Relationship Id="rId29" Type="http://schemas.openxmlformats.org/officeDocument/2006/relationships/image" Target="media/image7.png"/><Relationship Id="rId28" Type="http://schemas.openxmlformats.org/officeDocument/2006/relationships/image" Target="media/image6.png"/><Relationship Id="rId27" Type="http://schemas.openxmlformats.org/officeDocument/2006/relationships/image" Target="media/image5.png"/><Relationship Id="rId26" Type="http://schemas.openxmlformats.org/officeDocument/2006/relationships/image" Target="media/image4.png"/><Relationship Id="rId25" Type="http://schemas.openxmlformats.org/officeDocument/2006/relationships/image" Target="media/image3.png"/><Relationship Id="rId24" Type="http://schemas.openxmlformats.org/officeDocument/2006/relationships/image" Target="media/image2.png"/><Relationship Id="rId23" Type="http://schemas.openxmlformats.org/officeDocument/2006/relationships/image" Target="media/image1.png"/><Relationship Id="rId22" Type="http://schemas.openxmlformats.org/officeDocument/2006/relationships/theme" Target="theme/theme1.xml"/><Relationship Id="rId21" Type="http://schemas.openxmlformats.org/officeDocument/2006/relationships/footer" Target="footer3.xml"/><Relationship Id="rId20" Type="http://schemas.openxmlformats.org/officeDocument/2006/relationships/footer" Target="footer2.xml"/><Relationship Id="rId2" Type="http://schemas.openxmlformats.org/officeDocument/2006/relationships/settings" Target="settings.xml"/><Relationship Id="rId19" Type="http://schemas.openxmlformats.org/officeDocument/2006/relationships/footer" Target="footer1.xml"/><Relationship Id="rId18" Type="http://schemas.openxmlformats.org/officeDocument/2006/relationships/header" Target="header16.xml"/><Relationship Id="rId17" Type="http://schemas.openxmlformats.org/officeDocument/2006/relationships/header" Target="header15.xml"/><Relationship Id="rId16" Type="http://schemas.openxmlformats.org/officeDocument/2006/relationships/header" Target="header14.xml"/><Relationship Id="rId15" Type="http://schemas.openxmlformats.org/officeDocument/2006/relationships/header" Target="header13.xml"/><Relationship Id="rId14" Type="http://schemas.openxmlformats.org/officeDocument/2006/relationships/header" Target="header12.xml"/><Relationship Id="rId13" Type="http://schemas.openxmlformats.org/officeDocument/2006/relationships/header" Target="header11.xml"/><Relationship Id="rId12" Type="http://schemas.openxmlformats.org/officeDocument/2006/relationships/header" Target="header10.xml"/><Relationship Id="rId11" Type="http://schemas.openxmlformats.org/officeDocument/2006/relationships/header" Target="header9.xml"/><Relationship Id="rId10" Type="http://schemas.openxmlformats.org/officeDocument/2006/relationships/header" Target="head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14</Pages>
  <Words>12777</Words>
  <Characters>13335</Characters>
  <Lines>1</Lines>
  <Paragraphs>1</Paragraphs>
  <TotalTime>0</TotalTime>
  <ScaleCrop>false</ScaleCrop>
  <LinksUpToDate>false</LinksUpToDate>
  <CharactersWithSpaces>13527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2024-06-18T02:56:00Z</dcterms:created>
  <dc:creator>Administrator</dc:creator>
  <cp:lastModifiedBy>Administrator</cp:lastModifiedBy>
  <dcterms:modified xsi:type="dcterms:W3CDTF">2024-06-21T02:14:55Z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B335F39C0E584E2F9C380AB527B191E8_12</vt:lpwstr>
  </property>
</Properties>
</file>