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10985500</wp:posOffset>
            </wp:positionV>
            <wp:extent cx="266700" cy="254000"/>
            <wp:effectExtent l="0" t="0" r="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北京市2024年普通高中学业水平等级考试</w:t>
      </w:r>
    </w:p>
    <w:p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</w:t>
      </w:r>
    </w:p>
    <w:p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本试参满分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</w:p>
    <w:p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分。在每题列出的四个选项中，选出最符合题目要求的一项。</w:t>
      </w:r>
    </w:p>
    <w:p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古代玉器为礼之重器，孔子用玉比喻理想人格：温润而泽，仁也；缜密以栗（坚硬），知（智）也；廉（棱角）而不刿（割），义也；垂之如队（坠），礼也。这一比喻寄托了（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隆礼重法的精神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无为而治的理想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修身明德的追求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选贤任能的理念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西汉官员朱邑，少时为舒桐乡啬夫，为政“廉平不苛”“存问耆老孤寡”“所部吏民爱敬焉”，后“举贤良为大司农丞……以治行第一入为大司农”。上述材料可以印证西汉时期（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①社会基层组织开始建立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②中正官负责官员的考核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③政府通过察举选拔人才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④官吏为政注重优抚老弱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判”是古时官员断决狱讼的文本，也是唐代铨选官吏的考试科目之一。唐代的《龙筋凤髓判》是我国完整传世的一部判例集，通过模拟判例的形式陈述案例缘由，给出判决意见，并进行解释，为应试者提供了“判”的写作程式和方法。这说明唐代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以法为教，轻视了道德礼义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重视家训，教化渗透至基层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注重判例解读，提升官员司法素养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强调司法实践，开创律例合编体例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《永乐大典》辑录了先秦到明初的书籍</w:t>
      </w:r>
      <w:r>
        <w:rPr>
          <w:rFonts w:ascii="Times New Roman" w:hAnsi="Times New Roman" w:eastAsia="Times New Roman" w:cs="Times New Roman"/>
          <w:color w:val="000000"/>
        </w:rPr>
        <w:t>8000</w:t>
      </w:r>
      <w:r>
        <w:rPr>
          <w:rFonts w:ascii="宋体" w:hAnsi="宋体" w:eastAsia="宋体" w:cs="宋体"/>
          <w:color w:val="000000"/>
        </w:rPr>
        <w:t>多种，明成祖撰序：“昔者圣王之治天下也，尽开物成务之道，极裁成辅相之宜，修礼乐而明教化，阐理至而宣人文……惟有大混一之时，必有一统之制作，所以齐政治而同风俗。”对此理解正确的是（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①《永乐大典》是中国古代最大的总结性类书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②明成祖标榜“文治”强调了图书的教化作用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③国家统一为《永乐大典》的编纂提供了条件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④《永乐大典》被明政府确定为儒学基础读物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乾隆元年所纂《山东通志·田赋志》：“任之土者谓之赋，任之力者谓之役。今则滋生人丁已免其徭，而原额之丁又编入地亩，是无所谓役也。故以‘田赋’总之。”对上述材料理解正确的是（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①地丁合并征收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②丁银数额固定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③百姓赋役免除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④人身束缚加强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《万国公法》译成中文时，某法国外交官说：“那个打算让中国人领悟我们欧洲国际法的人是谁？……他会让我们陷于无尽的麻烦之中。”另有英文报纸评论道：“我们为中国提供的武器在日后到底是会瞄准我们，还是只会转向新的征服者，现在还不好说。”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引入《万国公法》破坏了中国司法主权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中国社会对当时世界形势变化浑然不觉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中国了解国际法将不利于列强对华侵略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此时国际法的应用范围只限于欧洲国家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《史记》记有商王世系。</w:t>
      </w:r>
      <w:r>
        <w:rPr>
          <w:rFonts w:ascii="Times New Roman" w:hAnsi="Times New Roman" w:eastAsia="Times New Roman" w:cs="Times New Roman"/>
          <w:color w:val="000000"/>
        </w:rPr>
        <w:t>1917</w:t>
      </w:r>
      <w:r>
        <w:rPr>
          <w:rFonts w:ascii="宋体" w:hAnsi="宋体" w:eastAsia="宋体" w:cs="宋体"/>
          <w:color w:val="000000"/>
        </w:rPr>
        <w:t>年，王国维利用新发现的甲骨卜辞与《史记》《尚书》等古籍相互补正，进一步论证了商朝的历史。陈垣后来对考证方法进行了总结，其中包括：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①理证：“无证而以理断之者”；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②书证：引书为证，“可以补史之阙”；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③亲证：“考地理贵实践，亲历其地”；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④物证：“以新出土之金石证史”。王国维上述研究运用的考证方法主要有（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1920</w:t>
      </w:r>
      <w:r>
        <w:rPr>
          <w:rFonts w:ascii="宋体" w:hAnsi="宋体" w:eastAsia="宋体" w:cs="宋体"/>
          <w:color w:val="000000"/>
        </w:rPr>
        <w:t>年，在上海的共产党早期组织领导下，上海机器工会成立。与此同时，陈独秀主编的《劳动界》也发文指出，“神圣不可侵犯的工人，竟被资本家压迫了！真是可恼！我们此时应当要去抵抗他，我们此时就应该要有团体”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发动工人运动是中国共产党独创的斗争形式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成立工人组织符合当时革命斗争的实际需要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“劳工神圣”成为当时中国社会的共识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建立工会是开展国民革命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重要内容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1937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月，毛泽东在讨论同国民党的谈判时说，谈判的方针，无疑是无产阶级政党与资产阶级政党的合作的方向，而不是无产阶级做资产阶级的尾巴。如果这样，我们便要失去信仰。这表明（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中国共产党决定国共和谈解决西安事变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中国共产党强调其在统一战线中的地位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抗日民主政府应遵循“三三制”原则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民主联合政府应由国共两党合作建立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1955</w:t>
      </w:r>
      <w:r>
        <w:rPr>
          <w:rFonts w:ascii="宋体" w:hAnsi="宋体" w:eastAsia="宋体" w:cs="宋体"/>
          <w:color w:val="000000"/>
        </w:rPr>
        <w:t>年，针对中法建交，周恩来与法国议员代表团会谈时说，现在世界上有人以为中国可以容许“两个中国”的存在，“中国人民决不能接受这种情况……中国本来是统一的，中国内战的结果是中国人民取得了彻底的胜利……新的代替旧的”。这段话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强调一个中国原则是中法建交的政治基础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阐明以“求同存异”方针推动中法关系的突破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标志着和平共处五项原则的提出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是“一国两制”方针的早期表述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书信是研究古代两河流域历史的重要材料。古巴比伦国王汉谟拉比给地方总督写了大量泥版书信，命令其征收椰枣、谷物、芝麻、皮毛服装，如数上缴征收的货币，清理运河便于灌溉，为王室牧场派遣剪羊毛工人，查办官员贿赂事件，组织审理经济纠纷，协助调兵等。以上材料反映出的有关古巴比伦的信息包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①行业种类多样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</w:rPr>
        <w:t>②国家重视农业生产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③地方资源的所有权归总督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④书信是国王处理事务的一种方式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2008</w:t>
      </w:r>
      <w:r>
        <w:rPr>
          <w:rFonts w:ascii="宋体" w:hAnsi="宋体" w:eastAsia="宋体" w:cs="宋体"/>
          <w:color w:val="000000"/>
        </w:rPr>
        <w:t>年，时任希腊总理在一个拜占庭艺术主题展上致辞，强调拜占庭的遗产“不但被欧洲人分享，而且也为其一度覆盖的三大洲民族的公民所分享”。能支撑此观点的是（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①拜占庭首次统一了西亚和北非文明区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②基辅罗斯的文化深受拜占庭文化的影响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③拜占庭文化被奥斯曼帝国全盘接受和传承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④《查士丁尼法典》推动了近代欧洲法律发展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透视法是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世纪欧洲艺术家在实践中探索出的一种理论，又称“数学透视法”，在绘画和浮雕创作上掀起划时代的技法革命。哥白尼曾说“日心说”是按透视法合理构建的宇宙空间结构，伽利略也说他发明天文望远镜受到透视法的启示。由此可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①文艺复兴时期的艺术创作引入了科学方法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②透视法理论的出现标志欧洲近代科学兴起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③艺术理论和实践促进了近代科学研究发展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④透视法成为了近代天文学革命的核心理论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马克思主义在俄国社会主义革命时期得到了丰富和发展。下列符合这一论断的是（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“全世界无产者，联合起来”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“公社……所采取的各项具体措施，只能显示出走向属于人民、由人民掌权的政府的趋势”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“社会主义可能首先在少数甚至单独一个资本主义国家内获得胜利”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“重工业是发展社会主义经济一切部门、加强我们祖国的国防、增进人民福利的基础”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1920</w:t>
      </w:r>
      <w:r>
        <w:rPr>
          <w:rFonts w:ascii="宋体" w:hAnsi="宋体" w:eastAsia="宋体" w:cs="宋体"/>
          <w:color w:val="000000"/>
        </w:rPr>
        <w:t>年，有思维的机器人首次出现在文学作品中。</w:t>
      </w:r>
      <w:r>
        <w:rPr>
          <w:rFonts w:ascii="Times New Roman" w:hAnsi="Times New Roman" w:eastAsia="Times New Roman" w:cs="Times New Roman"/>
          <w:color w:val="000000"/>
        </w:rPr>
        <w:t>1962</w:t>
      </w:r>
      <w:r>
        <w:rPr>
          <w:rFonts w:ascii="宋体" w:hAnsi="宋体" w:eastAsia="宋体" w:cs="宋体"/>
          <w:color w:val="000000"/>
        </w:rPr>
        <w:t>年，工业机器人实现商业化。</w:t>
      </w:r>
      <w:r>
        <w:rPr>
          <w:rFonts w:ascii="Times New Roman" w:hAnsi="Times New Roman" w:eastAsia="Times New Roman" w:cs="Times New Roman"/>
          <w:color w:val="000000"/>
        </w:rPr>
        <w:t>2007</w:t>
      </w:r>
      <w:r>
        <w:rPr>
          <w:rFonts w:ascii="宋体" w:hAnsi="宋体" w:eastAsia="宋体" w:cs="宋体"/>
          <w:color w:val="000000"/>
        </w:rPr>
        <w:t>年，全球机器人安装量达</w:t>
      </w:r>
      <w:r>
        <w:rPr>
          <w:rFonts w:ascii="Times New Roman" w:hAnsi="Times New Roman" w:eastAsia="Times New Roman" w:cs="Times New Roman"/>
          <w:color w:val="000000"/>
        </w:rPr>
        <w:t>650</w:t>
      </w:r>
      <w:r>
        <w:rPr>
          <w:rFonts w:ascii="宋体" w:hAnsi="宋体" w:eastAsia="宋体" w:cs="宋体"/>
          <w:color w:val="000000"/>
        </w:rPr>
        <w:t>万台。近年，欧盟出台了《欧洲机器人技术民事法律规则》《机器人技术工程师伦理行为准则》《人工智能法案》等。对以上材料理解正确的是（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①文学创作是机器人技术发展的理论来源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②二战后科技进步推动机器人产业化发展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③机器人的出现标志着生产关系的新变革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④人们对机器人发展的潜在风险加以防范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城与都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今北京在唐朝称幽州，是中原与东北地区、北方草原的交通枢纽。朝廷曾在此设节度使，以掌军政。随着漕运、海运的发展，幽州与各地经济往来日益频繁。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今北京在辽时称南京（燕京），为五京之一。辽帝曾在此行册礼（上皇帝尊号）、设行营；设三司使司，“掌燕、蓟、涿”等州钱帛；设都元帅府，“杂掌蕃汉兵”；实行科举，设置太学。“领燕中职事者，虽胡人亦汉服，谓之汉官”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辽在南京“劝农桑，修武备”“果实、稻粱之类，靡不毕出”，所产“线缕机绫”工艺精巧。“城北有市，陆海百货，聚于其中”。城中“户口安堵，人物繁庶”，居民“俗皆汉服，中有胡服者，盖杂契丹、渤海妇女耳”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南京与开封之间设有榷场。南京外有居庸、古北等关口，通达辽其他四京等地。金人评价“燕都地处雄要，北倚山险，南压区夏，若坐堂隍，俯视庭宇”。元人有诗云：“万国河山有燕赵，百年风气尚辽金。”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阅读材料一，指出唐幽州的重要性。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说明辽南京在统一多民族封建国家发展进程中的作用。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17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经略海洋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孙中山沿海港口建设规划示意图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33725" cy="26860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新中国与海洋相关的文献及内容（部分）</w:t>
      </w:r>
    </w:p>
    <w:tbl>
      <w:tblPr>
        <w:tblStyle w:val="4"/>
        <w:tblW w:w="7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75"/>
        <w:gridCol w:w="59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1958</w:t>
            </w:r>
          </w:p>
        </w:tc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《中华人民共和国政府关于领海的声明》：中华人民共和国的领海宽度为十二海里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1982</w:t>
            </w:r>
          </w:p>
        </w:tc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第六个五年计划：积极开展海上石油的对外合作勘探和开发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1996</w:t>
            </w:r>
          </w:p>
        </w:tc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《中国海洋21世纪议程》：阐明海洋可持续发展的基本战略、战略目标、基本对策，以及主要行动领域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1998</w:t>
            </w:r>
          </w:p>
        </w:tc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《中华人民共和国专属经济区和大陆架法》：中华人民共和国的专属经济区，为中华人民共和国领海以外并邻接领海的区域，从测算领海宽度的基线量起延至二百海里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2003</w:t>
            </w:r>
          </w:p>
        </w:tc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《全国海洋经济发展规划纲要》：加快发展海洋产业，促进海洋经济发展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2022</w:t>
            </w:r>
          </w:p>
        </w:tc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中共二十大报告：发展海洋经济，保护海洋生态环境，加快建设海洋强国</w:t>
            </w:r>
          </w:p>
        </w:tc>
      </w:tr>
    </w:tbl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中国当代海洋资源开发及成就示意图（部分）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9825" cy="29813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依据材料，评析百年来中国对海洋资源的谋划与开发。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英国与印度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英国关于印度的法案</w:t>
      </w:r>
    </w:p>
    <w:tbl>
      <w:tblPr>
        <w:tblStyle w:val="4"/>
        <w:tblW w:w="7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80"/>
        <w:gridCol w:w="5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法案名称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部分内容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东印度公司特许状</w:t>
            </w:r>
          </w:p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（1600）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东印度公司为法人和政治实体，选举产生理事会和总督，可制定法律；依法在东印度地区获得土地、租金，享有自由、司法、特许经营和继承权等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东印度公司法案</w:t>
            </w:r>
          </w:p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（1773）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提高孟加拉总督地位，统管东印度公司在印度的业务，成立由4位英国委员组成的参事会进行辅佐；设独立于总督的最高法院，由英王任命英国人担任法官，批准总督颁布的法令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东印度公司法案</w:t>
            </w:r>
          </w:p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（1784）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东印度公司的政治事务由英王任命的6人委员会监管，东印度公司负责商业经营；总督由公司董事会推荐，经英王许可后任命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印度政府法案</w:t>
            </w:r>
          </w:p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（1858）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东印度公司的权力、领地和财产等转归英王，英王为印度国王（后称皇帝）；设印度事务部，由内阁中的印度事务大臣直接领导；英王任命印度总督，作为其直接代表统治印度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印度参事会法案</w:t>
            </w:r>
          </w:p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（1861）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总督任命6～12人为总督参事会额外委员，其中非官方委员不低于6人；额外委员只能参加参事会立法会议，参与制定法律和法规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印度参事会法案</w:t>
            </w:r>
          </w:p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（1892修订）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居住在印度的人均可任额外委员；经总督授权批准，立法会议讨论总督的年度财经报告、提出质询；不懂英语的委员可以请人代为发言，议案翻译成印度语言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印度政府法案</w:t>
            </w:r>
          </w:p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（1919）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总督参事会6名成员中3名为印度人；立法会议从参事会中分出，设上下两院，下院145名议员中104名从居住在印度的人中选出，上院60名议员中33名由选举产生；议员可以对部分预算进行表决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印度独立法案</w:t>
            </w:r>
          </w:p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（1947）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印度分为印度和巴基斯坦两个独立的自治领；废除英王印度皇帝称号，取消印度事务大臣办公室；英国法令在印、巴不再有效（注：1950年总督及总督办公室撤销，英王不再任印度国王）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上述材料体现了英印关系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变化。选择两个不同标准，完成两种阶段划分方案，并分别说明理由。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结合所学，简述印度是如何迫使英国改变对它的殖民政策的。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和平与发展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在从以霸权为基础的旧秩序向以各国合作为基础以及建立在自由、平等和促进繁荣的社会正义之上的新秩序的过渡中，存在着导向世界冲突的危机……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当前世界的特征是存在着不同的社会制度。与会国并不认为这种不同构成对稳定和平的不可克服的障碍……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和平共处的原则，是代替“冷战”和可能发生的全面核灾祸的唯一的办法。</w:t>
      </w:r>
    </w:p>
    <w:p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——《不结盟国家的国家或政府首脑会议宣言》（1961）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我们必须尝试超越我们自己的日常争吵（或谈判）去看待危险的长期问题。我们看到的是一个贫困和饥饿仍然在很多地区肆虐的世界，一个滥用资源而不顾其再生的世界，一个武器生产和销售超过任何时代的世界……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南北之间无论有何不同，分歧有多深刻，但都有一个共同的利益。双方的命运休戚相关。</w:t>
      </w:r>
    </w:p>
    <w:p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——（世界银行成立的）国际发展问题独立委员会：《北方和南方：争取生存的纲领》（1980）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当今世界正处于百年未有之大变局，各种新旧问题与复杂矛盾叠加碰撞、交织发酵……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人类命运共同体，就是每个民族、每个国家的前途命运都紧紧联系在一起，应该风雨同舟、荣辱与共、和谐共生、合作共赢……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中华文化以和合理念为精神内核，秉持“以和为贵，和而不同”的价值取向。</w:t>
      </w:r>
    </w:p>
    <w:p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——《携手构建人类命运共同体：中国的倡议与行动》（2023）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分析材料一和材料二对世界的认识。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中国为解决人类面临的共同问题提供了“中国智慧、中国方案”。结合所学对材料三加以解释。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端午故事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端午节由来已久，其起源有纪念屈原、吴越民族图腾祭、恶月恶日避毒除害等说法。古代各地的端午习俗包括，“以五彩丝系臂”祈求“不病瘟”“采艾以为人（人形），悬门户上，以攘毒气”，以竹筒贮米，投水以祭屈原，“蹋百草”“斗百草”“龙舟竞渡”，出嫁女“归宁（回娘家）”等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20世纪以来中国端午节大事表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1912年，南京临时政府颁布新历法，规定新旧二历并存，旧习俗择要存录，吉凶神宿一律删除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1922年，《杭州青年》发表《整洁节（端午）卫生大运动宣言》“利用旧习惯里端午节除毒的社会心理”，举行卫生大运动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1928年，民国政府废止阴历，严禁机关、学校、团体循旧历习俗放假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1940年，抗敌文协为纪念屈原，将端午节定为“诗人节”“向国内推广实行”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1941年，《屈原》新剧上演，纪念国殇民国年间，各地县志多有关于当时端午习俗的记载，如山西“插艾，食角黍（粽子），饮雄黄酒……游郊”；广东“各家裹角黍，各乡竞龙舟”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1984年，国家体委在广东举办首届“屈原杯”龙舟赛；随后日本、新加坡、澳大利亚等国也开始举办龙舟赛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2006年，端午节成为首批国家级非物质文化遗产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2007年，端午节成为国家法定节假日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2009年，端午习俗申遗成功，中国传统节日首次跻身世界非遗名录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阅读材料，结合所学，阐释端午节蕴含的中华优秀传统文化的内涵及特点。</w:t>
      </w:r>
    </w:p>
    <w:sectPr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3ZTI1ZmI1Y2FlMmIzNzhhYzZhN2VkYzE1MTU3ZG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2BA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5262</Words>
  <Characters>5479</Characters>
  <TotalTime>0</TotalTime>
  <ScaleCrop>false</ScaleCrop>
  <LinksUpToDate>false</LinksUpToDate>
  <CharactersWithSpaces>5768</CharactersWithSpaces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2024-07-16T05:35:46Z</dcterms:created>
  <dc:creator>Administrator</dc:creator>
  <cp:lastModifiedBy>Administrator</cp:lastModifiedBy>
  <dcterms:modified xsi:type="dcterms:W3CDTF">2024-07-16T05:36:03Z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D93E8FD42726478F8DD94CC9AA252997_12</vt:lpwstr>
  </property>
</Properties>
</file>