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9FA42">
      <w:pPr>
        <w:widowControl w:val="0"/>
        <w:spacing w:before="0" w:after="0" w:line="360" w:lineRule="auto"/>
        <w:jc w:val="both"/>
        <w:rPr>
          <w:sz w:val="21"/>
          <w:szCs w:val="21"/>
        </w:rPr>
      </w:pPr>
      <w:bookmarkStart w:id="0" w:name="_GoBack"/>
      <w:r>
        <w:rPr>
          <w:strike w:val="0"/>
          <w:sz w:val="21"/>
          <w:szCs w:val="21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11633200</wp:posOffset>
            </wp:positionV>
            <wp:extent cx="485775" cy="323850"/>
            <wp:effectExtent l="0" t="0" r="9525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21B8500C">
      <w:pPr>
        <w:widowControl w:val="0"/>
        <w:spacing w:before="0" w:after="0" w:line="286" w:lineRule="auto"/>
        <w:jc w:val="both"/>
      </w:pPr>
      <w:r>
        <w:rPr>
          <w:rFonts w:ascii="宋体" w:hAnsi="宋体" w:eastAsia="宋体" w:cs="宋体"/>
          <w:b/>
          <w:bCs/>
        </w:rPr>
        <w:t>绝密★启用前</w:t>
      </w:r>
    </w:p>
    <w:p w14:paraId="1BE4C028">
      <w:pPr>
        <w:widowControl w:val="0"/>
        <w:spacing w:before="0" w:after="0" w:line="286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年普通高等学校招生全国统一考试（全国甲卷）</w:t>
      </w:r>
    </w:p>
    <w:p w14:paraId="534793CE">
      <w:pPr>
        <w:widowControl w:val="0"/>
        <w:spacing w:before="0" w:after="0" w:line="286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历史</w:t>
      </w:r>
    </w:p>
    <w:p w14:paraId="26EC2379">
      <w:pPr>
        <w:widowControl w:val="0"/>
        <w:spacing w:before="0" w:after="0" w:line="286" w:lineRule="auto"/>
        <w:jc w:val="both"/>
      </w:pPr>
      <w:r>
        <w:rPr>
          <w:rFonts w:ascii="宋体" w:hAnsi="宋体" w:eastAsia="宋体" w:cs="宋体"/>
          <w:b/>
          <w:bCs/>
        </w:rPr>
        <w:t>注意事项：</w:t>
      </w:r>
    </w:p>
    <w:p w14:paraId="280F6693">
      <w:pPr>
        <w:widowControl w:val="0"/>
        <w:spacing w:before="0" w:after="0" w:line="286" w:lineRule="auto"/>
        <w:jc w:val="both"/>
      </w:pPr>
      <w:r>
        <w:rPr>
          <w:b/>
          <w:bCs/>
        </w:rPr>
        <w:t>1</w:t>
      </w:r>
      <w:r>
        <w:rPr>
          <w:rFonts w:ascii="宋体" w:hAnsi="宋体" w:eastAsia="宋体" w:cs="宋体"/>
          <w:b/>
          <w:bCs/>
        </w:rPr>
        <w:t>．答卷前，考生务必将自己的姓名、准考证号填写在答题卡上。</w:t>
      </w:r>
    </w:p>
    <w:p w14:paraId="00E7450B">
      <w:pPr>
        <w:widowControl w:val="0"/>
        <w:spacing w:before="0" w:after="0" w:line="286" w:lineRule="auto"/>
        <w:jc w:val="both"/>
      </w:pP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．回答选择题时，选出每小题答案后，用铅笔把答题卡上对应题目的答案标号涂黑。如需改动，用橡皮擦干净后，再选涂其它答案标号。回答非选择题时，将答案写在答题卡上。写在本试卷上无效。</w:t>
      </w:r>
    </w:p>
    <w:p w14:paraId="78DBEFA6">
      <w:pPr>
        <w:widowControl w:val="0"/>
        <w:spacing w:before="0" w:after="0" w:line="286" w:lineRule="auto"/>
        <w:jc w:val="both"/>
      </w:pP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．考试结束后，将本试卷和答题卡一并交回。</w:t>
      </w:r>
    </w:p>
    <w:p w14:paraId="65EA9753">
      <w:pPr>
        <w:widowControl w:val="0"/>
        <w:spacing w:before="0" w:after="0" w:line="286" w:lineRule="auto"/>
        <w:jc w:val="both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12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48</w:t>
      </w:r>
      <w:r>
        <w:rPr>
          <w:rFonts w:ascii="宋体" w:hAnsi="宋体" w:eastAsia="宋体" w:cs="宋体"/>
          <w:b/>
          <w:bCs/>
        </w:rPr>
        <w:t>分。在每小题列出的四个选项中，只有一项是最符合题目要求的。</w:t>
      </w:r>
    </w:p>
    <w:p w14:paraId="533DDB7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春秋时期，周王室衰微，诸侯争当“盟主”。齐国、晋国、楚国接续争雄，吴越争霸。诸侯成为“盟主”可以（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EF064B2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取代周天子获得分封权力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成为诸侯国的“大宗”</w:t>
      </w:r>
    </w:p>
    <w:p w14:paraId="279EA8AC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免除向周王室纳税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义务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号令各诸侯国的行动</w:t>
      </w:r>
    </w:p>
    <w:p w14:paraId="19E385A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隋唐时期，常有商贩运着木材到城中指定区域进行售卖，也有人在城外种植桑树，然后砍伐送到城市作为柴薪进行售卖为生。由此可知，该时期（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3D77976E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重农抑商政策废弛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城市能源问题突出</w:t>
      </w:r>
    </w:p>
    <w:p w14:paraId="1FC3D3D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商品经济不断发展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市镇经济开始兴起</w:t>
      </w:r>
    </w:p>
    <w:p w14:paraId="59B215F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明代中后期士大夫广泛参与日用类书籍编纂。弘治年间进士邝璠以《耕织图》为蓝本，编撰《便民图纂》一书，为苏南一带农村日常生活及农事活动提供指导。其内容庞杂，载有农艺、园艺、养畜等农业技术和饮食器用方面的知识。《便民图纂》的出现体现了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3A5C6B8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朝廷加强对社会的控制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士大夫阶层趋于世俗化</w:t>
      </w:r>
    </w:p>
    <w:p w14:paraId="491E4B61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平民文化需求范围扩大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日常生产生活的标准化</w:t>
      </w:r>
    </w:p>
    <w:p w14:paraId="179A39F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清初《西游记》《三国演义》等小说出版盛行，广为传播，同时出现了满文版本进行刊印。而对于清政府认为会败坏社会风气，影响社会稳定的书籍则被列为禁书，进行销毁。这导致了（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4E8DA9D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世俗文化发展停滞化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社会政治和平失序化</w:t>
      </w:r>
    </w:p>
    <w:p w14:paraId="0DFE5AE4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政府的思想专制僵化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传统伦理道德的延续</w:t>
      </w:r>
    </w:p>
    <w:p w14:paraId="3DE7379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5. 19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50</w:t>
      </w:r>
      <w:r>
        <w:rPr>
          <w:rFonts w:ascii="宋体" w:hAnsi="宋体" w:eastAsia="宋体" w:cs="宋体"/>
          <w:sz w:val="21"/>
          <w:szCs w:val="21"/>
        </w:rPr>
        <w:t>年代之前，江苏镇江府土地多集中于地主手中。而到了六七十年代，镇江府“大地主不复存在”，十之八九的土地为耕者所有，</w:t>
      </w:r>
      <w:r>
        <w:rPr>
          <w:sz w:val="21"/>
          <w:szCs w:val="21"/>
        </w:rPr>
        <w:t>1888</w:t>
      </w:r>
      <w:r>
        <w:rPr>
          <w:rFonts w:ascii="宋体" w:hAnsi="宋体" w:eastAsia="宋体" w:cs="宋体"/>
          <w:sz w:val="21"/>
          <w:szCs w:val="21"/>
        </w:rPr>
        <w:t>年后基本集中在小农户手上。导致这一现象出现的原因是（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56B40101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西方列强入侵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民族资本主义的发展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15" name="图片 100015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page number 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6B428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797CB1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太平天国运动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土地商品化程度提高</w:t>
      </w:r>
    </w:p>
    <w:p w14:paraId="3A66815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6. 20</w:t>
      </w:r>
      <w:r>
        <w:rPr>
          <w:rFonts w:ascii="宋体" w:hAnsi="宋体" w:eastAsia="宋体" w:cs="宋体"/>
          <w:sz w:val="21"/>
          <w:szCs w:val="21"/>
        </w:rPr>
        <w:t>世纪初，清廷正式宣布考察政治的决定后，获得了国内外社会各界广泛认同，舆论普遍认为这是朝廷对立宪政治认识的大转变。“纷纷革命颈流血，无非蛮动力。一人坐定大风潮，立宪及今朝。”一时间内国内外革命的风声也都消失。由此可见清末宪政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6D6E288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一定程度上缓和了社会矛盾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使得知识分子意见趋向统一</w:t>
      </w:r>
    </w:p>
    <w:p w14:paraId="51CB7543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是清廷通过改革自救的手段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符合其时代背景和政治需求</w:t>
      </w:r>
    </w:p>
    <w:p w14:paraId="0AE5E9B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下图表（表）为</w:t>
      </w:r>
      <w:r>
        <w:rPr>
          <w:sz w:val="21"/>
          <w:szCs w:val="21"/>
        </w:rPr>
        <w:t>1943</w:t>
      </w:r>
      <w:r>
        <w:rPr>
          <w:rFonts w:ascii="宋体" w:hAnsi="宋体" w:eastAsia="宋体" w:cs="宋体"/>
          <w:sz w:val="21"/>
          <w:szCs w:val="21"/>
        </w:rPr>
        <w:t>年陕甘宁边区佳县城关区各阶层公粮负担情况。</w:t>
      </w:r>
    </w:p>
    <w:tbl>
      <w:tblPr>
        <w:tblStyle w:val="3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660"/>
        <w:gridCol w:w="666"/>
        <w:gridCol w:w="1500"/>
        <w:gridCol w:w="1290"/>
        <w:gridCol w:w="1441"/>
      </w:tblGrid>
      <w:tr w14:paraId="38CC1E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CA73943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阶层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539FAC1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户数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534228C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人口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7CE9EFC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总收入（石）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27DFADB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公粮（石）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53081A8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公粮占收入</w:t>
            </w: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%</w:t>
            </w:r>
          </w:p>
        </w:tc>
      </w:tr>
      <w:tr w14:paraId="2C2F8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4533E70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地主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B5601B9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92C6007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91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DBC1F01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462.0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369C4D5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104.70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08D7EC0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22.6%</w:t>
            </w:r>
          </w:p>
        </w:tc>
      </w:tr>
      <w:tr w14:paraId="112AFF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E5ACD13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富农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6036F13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EF960CC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356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A97CFA2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679.5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09A7B21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92.09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F310579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13.5%</w:t>
            </w:r>
          </w:p>
        </w:tc>
      </w:tr>
      <w:tr w14:paraId="640C9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4E4A6A8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中农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66D0E6E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244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B54D344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1352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601CD7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1481.8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C21C645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120.95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7EED3A1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8.1%</w:t>
            </w:r>
          </w:p>
        </w:tc>
      </w:tr>
      <w:tr w14:paraId="76C3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5F888E8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贫农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C99424A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588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8A74DA9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2498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A012FD0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1376.8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84B39D5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30.34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89296F2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2.1%</w:t>
            </w:r>
          </w:p>
        </w:tc>
      </w:tr>
      <w:tr w14:paraId="67231D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981BD16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雇农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544080F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64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2953A8B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235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327FE7D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58.8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EA1CBAD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—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0BBAC0F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—</w:t>
            </w:r>
          </w:p>
        </w:tc>
      </w:tr>
      <w:tr w14:paraId="4A0FD6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6E8F93E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其它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630EEAD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EFFDD51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214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1529C27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111.3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01EF393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2.92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C565B7F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2.6%</w:t>
            </w:r>
          </w:p>
        </w:tc>
      </w:tr>
      <w:tr w14:paraId="0A8442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9C3F32E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合计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11636FF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989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0A1F2CF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4746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C46E577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4170.2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9C67A26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351.00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DB0F452">
            <w:pPr>
              <w:widowControl w:val="0"/>
              <w:spacing w:before="0" w:after="0" w:line="360" w:lineRule="auto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8.4%</w:t>
            </w:r>
          </w:p>
        </w:tc>
      </w:tr>
    </w:tbl>
    <w:p w14:paraId="2A8692F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这一现象体现了（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1E87B3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社会阶级间的差距的扩大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农民生产生活需求的满足</w:t>
      </w:r>
    </w:p>
    <w:p w14:paraId="58810C1E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中国共产党阶级基础扩大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抗日民族统一战线的巩固</w:t>
      </w:r>
    </w:p>
    <w:p w14:paraId="74E4474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8. 1982</w:t>
      </w:r>
      <w:r>
        <w:rPr>
          <w:rFonts w:ascii="宋体" w:hAnsi="宋体" w:eastAsia="宋体" w:cs="宋体"/>
          <w:sz w:val="21"/>
          <w:szCs w:val="21"/>
        </w:rPr>
        <w:t>年《中华人民共和国宪法》第四十七条中规定：公民有进行科学研究、文学艺术创作和其他文化活动的自由。国家对于从事教育、科学、技术、文学、艺术和其他文化事业的公民的有益于人民的创造性工作，给以鼓励和帮助。这一规定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A6DE35F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有助于“双百方针”的贯彻落实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开启了全国性的思想解放运动</w:t>
      </w:r>
    </w:p>
    <w:p w14:paraId="675F0D05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推动了基层的民主与法治建设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确立以人民为导向的创作方向</w:t>
      </w:r>
    </w:p>
    <w:p w14:paraId="0BA86DD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z w:val="21"/>
          <w:szCs w:val="21"/>
        </w:rPr>
        <w:t>14</w:t>
      </w:r>
      <w:r>
        <w:rPr>
          <w:rFonts w:ascii="宋体" w:hAnsi="宋体" w:eastAsia="宋体" w:cs="宋体"/>
          <w:sz w:val="21"/>
          <w:szCs w:val="21"/>
        </w:rPr>
        <w:t>世纪之前，人们把时间寄托给上帝，时间是“走向永恒过渡”。而在文艺复兴时代，人文主义者除了在职业古用的时间之外，勤奋研究古典文艺，他们强调要掌控时间，把握当下。一位意大利的母亲在给她儿子的信中说道，“要好好利用时间，不要荒废了时间……”这表明文艺复兴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31DB6B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冲击了宗教势力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因信称义开始确立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31" name="图片 100031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page number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902CA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72C9C97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强化了世俗观念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天赋人权广泛传播</w:t>
      </w:r>
    </w:p>
    <w:p w14:paraId="218DD18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10. 18</w:t>
      </w:r>
      <w:r>
        <w:rPr>
          <w:rFonts w:ascii="宋体" w:hAnsi="宋体" w:eastAsia="宋体" w:cs="宋体"/>
          <w:sz w:val="21"/>
          <w:szCs w:val="21"/>
        </w:rPr>
        <w:t>世纪上半叶，英国纺织厂女工如果在劳作的时候停下来休息，并不会有人过多在意。而到了</w:t>
      </w:r>
      <w:r>
        <w:rPr>
          <w:sz w:val="21"/>
          <w:szCs w:val="21"/>
        </w:rPr>
        <w:t>18</w:t>
      </w:r>
      <w:r>
        <w:rPr>
          <w:rFonts w:ascii="宋体" w:hAnsi="宋体" w:eastAsia="宋体" w:cs="宋体"/>
          <w:sz w:val="21"/>
          <w:szCs w:val="21"/>
        </w:rPr>
        <w:t>世纪下半叶，纺织原料由工厂统一供应和调配，整个生产过程处于工厂主的监督管理之下，纺织厂各生产环节协同劳作，这使得女织工不能够轻易休息。这一现象表明工业革命（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85BCE3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解放了女工人身的自由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提高了工人生产自主性</w:t>
      </w:r>
    </w:p>
    <w:p w14:paraId="5EC1CCCC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推动了生产组织的变革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强化了工厂的管理能力</w:t>
      </w:r>
    </w:p>
    <w:p w14:paraId="586CD59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伏尔泰在一次集会上说“像牛顿这样一千年才出现一个的人，才真正是个伟大的人物……而那些该尊敬的，是以真理的力量主宰人们的精神的人，而不是用暴力把人们变成奴隶的人，是指认识宇宙的人，而不是歪曲宇宙的人。”据此可知，伏尔泰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2BE170AF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崇尚理性精神力量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批判封建并且反对愚昧</w:t>
      </w:r>
    </w:p>
    <w:p w14:paraId="73C2C09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主张实行精英政治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倡导建立自然科学体系</w:t>
      </w:r>
    </w:p>
    <w:p w14:paraId="588BFF5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12. 20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40</w:t>
      </w:r>
      <w:r>
        <w:rPr>
          <w:rFonts w:ascii="宋体" w:hAnsi="宋体" w:eastAsia="宋体" w:cs="宋体"/>
          <w:sz w:val="21"/>
          <w:szCs w:val="21"/>
        </w:rPr>
        <w:t>年代，好莱坞曾经拍摄过一系列正面表现苏联的电影，从苏联的视角对其进行了相对正面的刻画。而</w:t>
      </w:r>
      <w:r>
        <w:rPr>
          <w:sz w:val="21"/>
          <w:szCs w:val="21"/>
        </w:rPr>
        <w:t>20</w:t>
      </w:r>
      <w:r>
        <w:rPr>
          <w:rFonts w:ascii="宋体" w:hAnsi="宋体" w:eastAsia="宋体" w:cs="宋体"/>
          <w:sz w:val="21"/>
          <w:szCs w:val="21"/>
        </w:rPr>
        <w:t>世纪</w:t>
      </w:r>
      <w:r>
        <w:rPr>
          <w:sz w:val="21"/>
          <w:szCs w:val="21"/>
        </w:rPr>
        <w:t>50</w:t>
      </w:r>
      <w:r>
        <w:rPr>
          <w:rFonts w:ascii="宋体" w:hAnsi="宋体" w:eastAsia="宋体" w:cs="宋体"/>
          <w:sz w:val="21"/>
          <w:szCs w:val="21"/>
        </w:rPr>
        <w:t>年代年之后，苏联在美国电影里的形象也很快出现了急转弯，苏联对美国的威胁成了好莱坞电影的重要主题之一。美国这一态度转变反映出（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4C8C507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两极格局的正式形成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国际形势影响价值观</w:t>
      </w:r>
    </w:p>
    <w:p w14:paraId="19A97A47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雅尔塔体系走向瓦解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冷战聚焦于文化领域</w:t>
      </w:r>
    </w:p>
    <w:p w14:paraId="1AB1A410">
      <w:pPr>
        <w:widowControl w:val="0"/>
        <w:spacing w:before="0" w:after="0" w:line="286" w:lineRule="auto"/>
        <w:jc w:val="both"/>
      </w:pPr>
      <w:r>
        <w:rPr>
          <w:rFonts w:ascii="宋体" w:hAnsi="宋体" w:eastAsia="宋体" w:cs="宋体"/>
          <w:b/>
          <w:bCs/>
        </w:rPr>
        <w:t>二、非选择题：共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小题，共</w:t>
      </w:r>
      <w:r>
        <w:rPr>
          <w:b/>
          <w:bCs/>
        </w:rPr>
        <w:t>52</w:t>
      </w:r>
      <w:r>
        <w:rPr>
          <w:rFonts w:ascii="宋体" w:hAnsi="宋体" w:eastAsia="宋体" w:cs="宋体"/>
          <w:b/>
          <w:bCs/>
        </w:rPr>
        <w:t>分。</w:t>
      </w:r>
    </w:p>
    <w:p w14:paraId="3CF553D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阅读材料，完成下列要求。</w:t>
      </w:r>
    </w:p>
    <w:p w14:paraId="179A807C">
      <w:pPr>
        <w:widowControl w:val="0"/>
        <w:spacing w:before="0" w:after="0" w:line="360" w:lineRule="auto"/>
        <w:ind w:firstLine="420"/>
        <w:jc w:val="both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材料一  中国数学历史悠久，周代“六艺”中就有“数”的内容，历代天象观测、历法编定等均须依靠数学知识。汉代的《九章算术》通过具体问题的应用运算，在分数、开方、线性方程组、勾股等多方面领先世界。魏晋的刘徽、南朝的祖冲之及其子祖暄，都是世界级数学家。隋唐置算学，与太学并立，将前代的十部数学专著作为讲习内容。宋元时出现了以秦九韶、朱世杰等为代表的杰出数学家，明清时期，官方数学教育衰落，西学传入，中国传统数学受到冲击。</w:t>
      </w:r>
    </w:p>
    <w:p w14:paraId="72BC7D4A">
      <w:pPr>
        <w:widowControl w:val="0"/>
        <w:spacing w:before="0" w:after="0" w:line="360" w:lineRule="auto"/>
        <w:ind w:firstLine="420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——摘编自（英）李约瑟《中国科学技术史》等</w:t>
      </w:r>
    </w:p>
    <w:p w14:paraId="20E6857B">
      <w:pPr>
        <w:widowControl w:val="0"/>
        <w:spacing w:before="0" w:after="0" w:line="360" w:lineRule="auto"/>
        <w:ind w:firstLine="420"/>
        <w:jc w:val="both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  洋务运动时期，奕䜣等人认为西方科学技术“无一不自天文算学中来”，清廷遂于京师同文馆增设天文算学馆。清末兴办新式学堂，在各级学堂开设数学课程。20世纪二三十年代，我国中小学数学教学水平已“与欧美日本并驾齐驱”，大学纷纷成立数学系。抗战时期的西南联合大学拥有一批年轻的著名数学教授，如华罗庚、陈省身等。1940年中国共产党在延安设立自然科学院，开设微积分、微分方程等数学课程，培养专门人才。新中国成立后，科学技术的作用愈益突出，中国科学院设立数理化学部，推动了科学事业的发展。</w:t>
      </w:r>
    </w:p>
    <w:p w14:paraId="5639035C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——摘编自白寿彝总主编《中国通史》等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47" name="图片 100047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page number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B775B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32423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）根据材料并结合所学知识，概括中国古代数学发展的特点。</w:t>
      </w:r>
    </w:p>
    <w:p w14:paraId="5729F30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）根据材料二并结合所学知识，简析中国近代以来数学受到重视的历史背景。</w:t>
      </w:r>
    </w:p>
    <w:p w14:paraId="044208B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）根据材料并结合所学知识，阐述中国数学发展的历史启示。</w:t>
      </w:r>
    </w:p>
    <w:p w14:paraId="572788F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宋体" w:hAnsi="宋体" w:eastAsia="宋体" w:cs="宋体"/>
          <w:sz w:val="21"/>
          <w:szCs w:val="21"/>
        </w:rPr>
        <w:t>阅读材料，完成下列要求。</w:t>
      </w:r>
    </w:p>
    <w:p w14:paraId="5AF61B02">
      <w:pPr>
        <w:widowControl w:val="0"/>
        <w:spacing w:before="0" w:after="0" w:line="360" w:lineRule="auto"/>
        <w:ind w:firstLine="420"/>
        <w:jc w:val="both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</w:t>
      </w:r>
    </w:p>
    <w:p w14:paraId="2EA56F4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0" cy="2047875"/>
            <wp:effectExtent l="0" t="0" r="0" b="9525"/>
            <wp:docPr id="100061" name="图片 1000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07BC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根据材料，结合所学世界近现代史知识，概括出</w:t>
      </w:r>
      <w:r>
        <w:rPr>
          <w:sz w:val="21"/>
          <w:szCs w:val="21"/>
        </w:rPr>
        <w:t>1900</w:t>
      </w:r>
      <w:r>
        <w:rPr>
          <w:rFonts w:ascii="宋体" w:hAnsi="宋体" w:eastAsia="宋体" w:cs="宋体"/>
          <w:sz w:val="21"/>
          <w:szCs w:val="21"/>
        </w:rPr>
        <w:t>年</w:t>
      </w:r>
      <w:r>
        <w:rPr>
          <w:sz w:val="21"/>
          <w:szCs w:val="21"/>
        </w:rPr>
        <w:t>~2000</w:t>
      </w:r>
      <w:r>
        <w:rPr>
          <w:rFonts w:ascii="宋体" w:hAnsi="宋体" w:eastAsia="宋体" w:cs="宋体"/>
          <w:sz w:val="21"/>
          <w:szCs w:val="21"/>
        </w:rPr>
        <w:t>年世界变化趋势，并加以阐释。（要求：趋势正确，观点明晰，史实准确，史论结合，逻辑严密。）</w:t>
      </w:r>
    </w:p>
    <w:p w14:paraId="15BCB63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[历史——选修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：历史上重大改革回眸]</w:t>
      </w:r>
    </w:p>
    <w:p w14:paraId="2AB5AEBF">
      <w:pPr>
        <w:widowControl w:val="0"/>
        <w:spacing w:before="0" w:after="0" w:line="360" w:lineRule="auto"/>
        <w:ind w:firstLine="420"/>
        <w:jc w:val="both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  北魏献文帝、孝文帝皆年幼继位，冯太后长期主持朝政。她主张“准古典”，即遵从周汉魏晋传统制度文化，鉴于西晋末年以来北方历经动乱、学校不兴，她下令在各郡置博士、助教官，建立官办学校，又因“皇子皇孙，训教不立”，下令在都城平城(今山西大同)创立“皇宗学”，专门教育皇室子弟。孝文帝在皇宗学学习期间，“未尝不《书典》在怀，《礼经》为事”。鲜卑人喜欢歌舞，冯太后亲自参与编写浅显易懂的《劝戒歌》300余首，并谱成曲调演唱，以鲜卑人喜闻乐见的形式宣讲中原文化，这些措施为进一步改革做了准备。冯太后去世后，孝文帝将她的谥号定为“文明”。</w:t>
      </w:r>
    </w:p>
    <w:p w14:paraId="28D5BBD4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_GB2312" w:hAnsi="楷体_GB2312" w:eastAsia="楷体_GB2312" w:cs="楷体_GB2312"/>
          <w:sz w:val="21"/>
          <w:szCs w:val="21"/>
        </w:rPr>
        <w:t>——据《魏书》等</w:t>
      </w:r>
    </w:p>
    <w:p w14:paraId="4CFD275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）根据材料，概括冯太后教育改革的主要内容。</w:t>
      </w:r>
    </w:p>
    <w:p w14:paraId="5F8A1C4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）根据材料并结合所学知识，简析冯太后教育改革的意义。</w:t>
      </w:r>
    </w:p>
    <w:p w14:paraId="57F5EBB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宋体" w:hAnsi="宋体" w:eastAsia="宋体" w:cs="宋体"/>
          <w:sz w:val="21"/>
          <w:szCs w:val="21"/>
        </w:rPr>
        <w:t>[历史——选修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sz w:val="21"/>
          <w:szCs w:val="21"/>
        </w:rPr>
        <w:t>20</w:t>
      </w:r>
      <w:r>
        <w:rPr>
          <w:rFonts w:ascii="宋体" w:hAnsi="宋体" w:eastAsia="宋体" w:cs="宋体"/>
          <w:sz w:val="21"/>
          <w:szCs w:val="21"/>
        </w:rPr>
        <w:t>世纪的战争与和平]</w:t>
      </w:r>
    </w:p>
    <w:p w14:paraId="3AAF5D0E">
      <w:pPr>
        <w:widowControl w:val="0"/>
        <w:spacing w:before="0" w:after="0" w:line="360" w:lineRule="auto"/>
        <w:ind w:firstLine="420"/>
        <w:jc w:val="both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  1911年3月，摩洛哥非斯地区爆发了反对法国殖民统治的起义，法国派兵镇压。德国出面干涉，7月1日派军舰到摩洛哥阿加迪尔港，引发阿加迪尔危机。由于担心德国获得摩洛哥沿岸港口并建立海军基地，英国于21日发出警告，强调英国是处理国际事务不可或缺的角色。英国海军进入战备状态，总参谋长访问法国并视察德法边界。在英国强硬态度面前，德国同意与法国妥协，摩洛哥由法国“保护”，法国向德国转让法属刚果部分地区。11月底，德国军舰驶离阿加迪尔港，危机结束。德国对此十分失望，决心在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63" name="图片 100063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page number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1E676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DBE772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一次“考验”时不再退缩。同时，英法同盟的实质合作进一步加强。</w:t>
      </w:r>
    </w:p>
    <w:p w14:paraId="5F1053F5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——摘编自徐弃郁《脆弱的崛起：大战略与德意志帝国的命运》等</w:t>
      </w:r>
    </w:p>
    <w:p w14:paraId="4B64F80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）根据材料并结合所学知识，说明英国在阿加迪尔危机中的立场及其原因。</w:t>
      </w:r>
    </w:p>
    <w:p w14:paraId="7D1D68F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）根据材料并结合所学知识，简析阿加迪尔危机对德国的影响。</w:t>
      </w:r>
    </w:p>
    <w:p w14:paraId="306EC16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17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[</w:t>
      </w:r>
      <w:r>
        <w:rPr>
          <w:rFonts w:ascii="宋体" w:hAnsi="宋体" w:eastAsia="宋体" w:cs="宋体"/>
          <w:sz w:val="21"/>
          <w:szCs w:val="21"/>
        </w:rPr>
        <w:t>历史</w:t>
      </w:r>
      <w:r>
        <w:rPr>
          <w:sz w:val="21"/>
          <w:szCs w:val="21"/>
        </w:rPr>
        <w:t>——</w:t>
      </w:r>
      <w:r>
        <w:rPr>
          <w:rFonts w:ascii="宋体" w:hAnsi="宋体" w:eastAsia="宋体" w:cs="宋体"/>
          <w:sz w:val="21"/>
          <w:szCs w:val="21"/>
        </w:rPr>
        <w:t>选修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：中外历史人物评说</w:t>
      </w:r>
      <w:r>
        <w:rPr>
          <w:sz w:val="21"/>
          <w:szCs w:val="21"/>
        </w:rPr>
        <w:t>]</w:t>
      </w:r>
    </w:p>
    <w:p w14:paraId="09CCD2BC">
      <w:pPr>
        <w:widowControl w:val="0"/>
        <w:spacing w:before="0" w:after="0" w:line="360" w:lineRule="auto"/>
        <w:ind w:firstLine="420"/>
        <w:jc w:val="both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  清帝退位后，黄兴认为政治目标已实现，“将来政治竞争，但能以政见相折冲，不愿以武力相角逐”，中华民国初年的国会选举期间，孙中山专心从事实业建设，对国民党党务“一切不问，纯然放任”；黄兴则积极为国民党争取选票，并认为“今者共和成立，欲苏民困，厚国力，舍实业末由”。1913年宋教仁遇刺后，黄兴主张“法律讨袁”，反对起兵，孙中山“格于众议，只好从缓发动”，后袁世凯欲武力镇压革命党，黄兴与孙中山领导发动“二次革命”，失败后逃亡日本。在日本，孙中山将国民党改组为中华革命党，继续发动式力革命，黄兴主张积蓄力量，循序渐进地反对袁世凯。</w:t>
      </w:r>
    </w:p>
    <w:p w14:paraId="3D98B07B">
      <w:pPr>
        <w:widowControl w:val="0"/>
        <w:spacing w:before="0" w:after="0" w:line="360" w:lineRule="auto"/>
        <w:jc w:val="right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——摘编自李新总编《中华民国史人物传》等</w:t>
      </w:r>
    </w:p>
    <w:p w14:paraId="048AAC7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）根据材料并结合所学知识，概括中华民国建立后黄兴和孙中山政治主张的相同之处。</w:t>
      </w:r>
    </w:p>
    <w:p w14:paraId="4BFB11B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）根据材料并结合所学知识，简析中华民国建立后黄兴和孙中山的政治分歧及其后果。</w:t>
      </w:r>
    </w:p>
    <w:p w14:paraId="73731FD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79" name="图片 100079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page number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8238D"/>
    <w:p w14:paraId="6A4B52AA"/>
    <w:p w14:paraId="11FFE07E"/>
    <w:p w14:paraId="28643A6D"/>
    <w:sectPr>
      <w:headerReference r:id="rId6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954D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89C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C3650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C7E0C">
    <w:pPr>
      <w:widowControl w:val="0"/>
      <w:pBdr>
        <w:top w:val="none" w:color="auto" w:sz="0" w:space="1"/>
        <w:left w:val="none" w:color="auto" w:sz="0" w:space="4"/>
        <w:right w:val="none" w:color="auto" w:sz="0" w:space="4"/>
      </w:pBdr>
      <w:spacing w:before="0" w:after="0"/>
      <w:ind w:right="80"/>
      <w:jc w:val="both"/>
      <w:rPr>
        <w:sz w:val="18"/>
        <w:szCs w:val="18"/>
      </w:rPr>
    </w:pPr>
  </w:p>
  <w:p w14:paraId="7B5F6A57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073" name="图片 10007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73" name="图片 100073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075" name="图片 10007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75" name="图片 100075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0CE44DFA"/>
    <w:rsid w:val="48911F85"/>
    <w:rsid w:val="496F04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3731</Words>
  <Characters>3950</Characters>
  <Lines>1</Lines>
  <Paragraphs>1</Paragraphs>
  <TotalTime>0</TotalTime>
  <ScaleCrop>false</ScaleCrop>
  <LinksUpToDate>false</LinksUpToDate>
  <CharactersWithSpaces>4097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2024-06-18T09:40:00Z</dcterms:created>
  <dc:creator>Administrator</dc:creator>
  <cp:lastModifiedBy>Administrator</cp:lastModifiedBy>
  <dcterms:modified xsi:type="dcterms:W3CDTF">2024-06-21T03:49:56Z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53DC50A958CA4269A966B17911D72490_12</vt:lpwstr>
  </property>
</Properties>
</file>