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10261600</wp:posOffset>
            </wp:positionV>
            <wp:extent cx="266700" cy="254000"/>
            <wp:effectExtent l="0" t="0" r="0" b="1270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高三历史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满分：100分  考试时间：75分钟</w:t>
      </w:r>
    </w:p>
    <w:p>
      <w:pPr>
        <w:spacing w:line="360" w:lineRule="auto"/>
        <w:jc w:val="both"/>
      </w:pPr>
      <w:r>
        <w:rPr>
          <w:rFonts w:ascii="宋体" w:hAnsi="宋体" w:eastAsia="宋体" w:cs="宋体"/>
          <w:b/>
          <w:color w:val="auto"/>
          <w:sz w:val="24"/>
        </w:rPr>
        <w:t>注意事项：</w:t>
      </w:r>
    </w:p>
    <w:p>
      <w:pPr>
        <w:spacing w:line="360" w:lineRule="auto"/>
        <w:jc w:val="both"/>
      </w:pPr>
      <w:r>
        <w:rPr>
          <w:rFonts w:ascii="宋体" w:hAnsi="宋体" w:eastAsia="宋体" w:cs="宋体"/>
          <w:b/>
          <w:color w:val="auto"/>
          <w:sz w:val="24"/>
        </w:rPr>
        <w:t>1.答题前，考生先将自己的姓名、准考证号码填写清楚，将条形码准确粘贴在考生信息条形码粘贴区。</w:t>
      </w:r>
    </w:p>
    <w:p>
      <w:pPr>
        <w:spacing w:line="360" w:lineRule="auto"/>
        <w:jc w:val="both"/>
      </w:pPr>
      <w:r>
        <w:rPr>
          <w:rFonts w:ascii="宋体" w:hAnsi="宋体" w:eastAsia="宋体" w:cs="宋体"/>
          <w:b/>
          <w:color w:val="auto"/>
          <w:sz w:val="24"/>
        </w:rPr>
        <w:t>2.选择题必须使用2B 铅笔填涂；非选择题必须使用0.5毫米黑色字迹签字笔书写，字体工整、笔迹清晰。</w:t>
      </w:r>
    </w:p>
    <w:p>
      <w:pPr>
        <w:spacing w:line="360" w:lineRule="auto"/>
        <w:jc w:val="both"/>
      </w:pPr>
      <w:r>
        <w:rPr>
          <w:rFonts w:ascii="宋体" w:hAnsi="宋体" w:eastAsia="宋体" w:cs="宋体"/>
          <w:b/>
          <w:color w:val="auto"/>
          <w:sz w:val="24"/>
        </w:rPr>
        <w:t>3.请按照题号顺序在答题卡各题目的答题区域内作答，超出答题区域书写的答案无效；在草稿纸、试卷上答题无效。</w:t>
      </w:r>
    </w:p>
    <w:p>
      <w:pPr>
        <w:spacing w:line="360" w:lineRule="auto"/>
        <w:jc w:val="both"/>
      </w:pPr>
      <w:r>
        <w:rPr>
          <w:rFonts w:ascii="宋体" w:hAnsi="宋体" w:eastAsia="宋体" w:cs="宋体"/>
          <w:b/>
          <w:color w:val="auto"/>
          <w:sz w:val="24"/>
        </w:rPr>
        <w:t>4.作图可先使用铅笔画出，确定后必须用黑色字迹的签字笔描黑。</w:t>
      </w:r>
    </w:p>
    <w:p>
      <w:pPr>
        <w:spacing w:line="360" w:lineRule="auto"/>
        <w:jc w:val="both"/>
      </w:pPr>
      <w:r>
        <w:rPr>
          <w:rFonts w:ascii="宋体" w:hAnsi="宋体" w:eastAsia="宋体" w:cs="宋体"/>
          <w:b/>
          <w:color w:val="auto"/>
          <w:sz w:val="24"/>
        </w:rPr>
        <w:t>5.保持卡面清洁，不要折叠，不要弄破、弄皱，不准使用涂改液、修正带、刮纸刀。</w:t>
      </w:r>
    </w:p>
    <w:p>
      <w:pPr>
        <w:spacing w:line="360" w:lineRule="auto"/>
        <w:jc w:val="both"/>
      </w:pPr>
      <w:r>
        <w:rPr>
          <w:rFonts w:ascii="宋体" w:hAnsi="宋体" w:eastAsia="宋体" w:cs="宋体"/>
          <w:b/>
          <w:color w:val="auto"/>
          <w:sz w:val="24"/>
        </w:rPr>
        <w:t>一、选择题：本题共16小题，每小题3分，满分48分。在每小题给出的四个选项中，只有一项符合题目要求。</w:t>
      </w:r>
    </w:p>
    <w:p>
      <w:pPr>
        <w:spacing w:line="360" w:lineRule="auto"/>
        <w:jc w:val="both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安徽江淮地区早期文明遗址与墓葬中曾挖掘出大量陶鬲，早期其样式呈现以夹砂灰陶或灰褐陶为主的周文化特征，中晚期展现出以折肩为特征的吴文化特征。西周晚期时，该区域陶鬲已不见周文化因素，吴文化因素的影响在增大。这反映出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auto"/>
        </w:rPr>
      </w:pPr>
      <w:r>
        <w:t xml:space="preserve">A. </w:t>
      </w:r>
      <w:r>
        <w:rPr>
          <w:rFonts w:ascii="宋体" w:hAnsi="宋体" w:eastAsia="宋体" w:cs="宋体"/>
          <w:color w:val="auto"/>
        </w:rPr>
        <w:t>社会层级结构的等级化</w:t>
      </w:r>
      <w:r>
        <w:tab/>
      </w:r>
      <w:r>
        <w:t xml:space="preserve">B. </w:t>
      </w:r>
      <w:r>
        <w:rPr>
          <w:rFonts w:ascii="宋体" w:hAnsi="宋体" w:eastAsia="宋体" w:cs="宋体"/>
          <w:color w:val="auto"/>
        </w:rPr>
        <w:t>厚葬成为恭行孝道的最佳方式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t xml:space="preserve">C. </w:t>
      </w:r>
      <w:r>
        <w:rPr>
          <w:rFonts w:ascii="宋体" w:hAnsi="宋体" w:eastAsia="宋体" w:cs="宋体"/>
          <w:color w:val="auto"/>
        </w:rPr>
        <w:t>政治格局演变的复杂性</w:t>
      </w:r>
      <w:r>
        <w:tab/>
      </w:r>
      <w:r>
        <w:t xml:space="preserve">D. </w:t>
      </w:r>
      <w:r>
        <w:rPr>
          <w:rFonts w:ascii="宋体" w:hAnsi="宋体" w:eastAsia="宋体" w:cs="宋体"/>
          <w:color w:val="auto"/>
        </w:rPr>
        <w:t>区域间的文化传播与民族交融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《史记·平准书》记载为：“至孝文时……匈奴数侵盗北边，屯戍者多，边粟不足给食当食者。于是募民能输及转粟于边者拜爵，爵得至大庶长。”这些措施旨在（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彻底消灭匈奴部族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善待少数民族部落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加强边境守备力量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笼络人心巩固统一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唐朝刘晓上疏：“国家以礼部为考秀之门，考文章于甲乙，故天下响应，驱驰于才艺，不务于德行”。贾至认为科举忽视先王之道，滋生了小人之道，“致使禄山一呼而四海震荡，思明再乱而十年不复"。据此可知，科举制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出现了重才轻德现象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选拔了德才兼备人才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促进了社会阶层流动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反映了价值观的变化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宋政府有个惯例，在商船起航之前，市舶司提举官会设宴为商人饯行，“以示招徕远人之意”,此即市舶宴。市舶宴之制，创于北宋，南宋继续遵行，遂成定例。《岭外代答》对市舶宴有所提及：“岁十月，提举司大设蕃商而遗之。”据此推断，市舶宴的举办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强化了政府海外贸易管理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体现政府鼓励海外贸易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国家放弃了重农抑商政策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朝贡贸易“厚往薄来”</w:t>
      </w:r>
    </w:p>
    <w:p>
      <w:pPr>
        <w:spacing w:line="360" w:lineRule="auto"/>
        <w:jc w:val="both"/>
        <w:textAlignment w:val="center"/>
        <w:rPr>
          <w:color w:val="000000"/>
        </w:rPr>
      </w:pP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明朝思想家王阳明认为，“夫道，天下之公道也；学，天下之公学也。非朱子可得而私也，非孔子可得而私也。天下之公也，公言之而已矣”。据此分析，王阳明的思想（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冲击了传统儒学的地位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践行经世致用的思想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填补了程朱理学的空白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蕴涵平等和叛逆色彩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根据记载，上海轮船招商局在成立之初大量吸引民间股东投资，以公司制度管理。但是民间股东对公司管理却无发言权，洋务官员们能够完全决定高层经营人员的去留和职位，定夺重要决策，甚至临时事项也必须向官员禀告并应允等。对上述现象理解准确的是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引进西方国家先进生产方式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反映了其官督商办属性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刺激了中国民族资产阶级诞生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强化了企业的封建性质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《纽约时报》1942年1月13日报道说，“自太平洋战争以来，正是这第一次裁决，来反对这个出其不意还没有被打败的对手，日本没有丝毫胜利的机会。今天，在太平洋战役反击阶段开始之时，她将扮演更加光辉的角色，给予日本方面重创一击”。第一次裁决是指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淞沪会战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武汉会战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太原会战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第三次长沙会战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1969年中国第二汽车制造厂正式落户湖北十堰，当时十堰只是一个人口百人的小镇，随着全国各地的近十万建设大军奔赴十堰，十堰市政建设大大推进，逐渐形成以企业工厂为中心的市区， 医院、学校等城市公共配套设施相继建立。十堰由最初的小镇升格为省辖市。十堰的发展得益于（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三线建设的推动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中西部开发的带动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改革开放的促进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抗战时期工业内迁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在新时期外交工作中，“一带一路”倡议10年里拉动近万亿美元投资规模，形成3000 多个合作项目，为沿线国家创造42万个工作岗位，让将近4000 万人摆脱贫困。中老铁路让老挝“陆锁国”变成“陆联国”。斯里兰卡普特拉姆电站点亮了万家灯火。新时期中国外交（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凸显和平共处五项原则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展现了中国文化自信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积极实践人类命运共同体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体现了新型大国关系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罗马由君主制过渡到共和制过程中，遴选元老的权力转入监察官之手，但元老院仍发挥着作用。当贵族将国王逐出罗马城后，尽管后来他们不得不与平民妥协，但个别显赫的贵族氏族仍然掌握着如同国王一般的权力。据此可知，罗马共和国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元老院已名存实亡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监察官掌握最高权力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贵族寡头政治鲜明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贵族与平民实现平权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国际法之父荷兰人格劳秀斯1609年发表《论海洋自由》。他提出即便沿海国拥有靠近海岸的制海权，也不能妨碍无害通行的航海自由，任何国家船只路经别国领海，不得威胁别国海权，无害通过，这是自然法赋予人的权利。这一思想旨在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维护本国海洋势力范围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维护欧洲各国的制海权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加快自由主义经济形成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促进航海自由的实现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18世纪，荷兰报纸上经常会列出法国债券与英国统一公债的价格、英格兰银行的股价以及英属东印度公司和南海公司的股价等，但却鲜有阿姆斯特丹证交所的债券或者股价。到了18世纪末，这些外国债券的交易也多从阿姆斯特丹转移至伦敦。导致上述现象形成的主要因素是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全球新航路的开辟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荷兰争夺霸权的失败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英国工业革命的完成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英国海外殖民势力大增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下图的宣传画诞生于（   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114550" cy="2695575"/>
            <wp:effectExtent l="0" t="0" r="0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(图中俄文翻译：苏维埃——我的祖国 社会主义祖国在成长——钢产量飙升)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十月革命时期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国内战争时期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工业化时期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冷战时期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美国著名作家刘易斯·辛克莱在1935年发表了小说《不能发生》,提醒美国人“当我们看到在德 国、意大利发生的一切，我们不能忽视。”小说一经发表，在美国引起了很大的反响。该小说的畅销反映当时美国（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社会主义运动兴起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经济大萧条影响严重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罗斯福新政成功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民众警惕法西斯主义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下表为70年代末英国国有企业私有化过程中私有化的国有企业，这体现了英国政府（   ）</w:t>
      </w:r>
    </w:p>
    <w:tbl>
      <w:tblPr>
        <w:tblStyle w:val="4"/>
        <w:tblW w:w="76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755"/>
        <w:gridCol w:w="59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95" w:hRule="atLeast"/>
        </w:trPr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both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所处行业</w:t>
            </w:r>
          </w:p>
        </w:tc>
        <w:tc>
          <w:tcPr>
            <w:tcW w:w="59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both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私有化企业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960" w:hRule="atLeast"/>
        </w:trPr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both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采矿业，石油业，农业与林业</w:t>
            </w:r>
          </w:p>
        </w:tc>
        <w:tc>
          <w:tcPr>
            <w:tcW w:w="59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both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英国煤炭公司，英国汽油公司，英国石油公司，油田开采公司，林业委员会，植物种植研究所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410" w:hRule="atLeast"/>
        </w:trPr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both"/>
              <w:textAlignment w:val="center"/>
              <w:rPr>
                <w:color w:val="000000"/>
              </w:rPr>
            </w:pPr>
          </w:p>
          <w:p>
            <w:pPr>
              <w:spacing w:line="360" w:lineRule="auto"/>
              <w:jc w:val="both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水，电，煤气业</w:t>
            </w:r>
          </w:p>
        </w:tc>
        <w:tc>
          <w:tcPr>
            <w:tcW w:w="59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both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英国煤气公司，国家电力公司，电力情报公司，核电力公司，北爱尔兰电力公司，北爱尔兰电力生产公司(4个分公司),苏格兰水电公司，苏格兰电力公司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70" w:hRule="atLeast"/>
        </w:trPr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both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国家电网</w:t>
            </w:r>
          </w:p>
        </w:tc>
        <w:tc>
          <w:tcPr>
            <w:tcW w:w="59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both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地方电力输送公司(12个分公司),地方自来水控股公司(10个分公司)</w:t>
            </w:r>
          </w:p>
        </w:tc>
      </w:tr>
    </w:tbl>
    <w:p>
      <w:pPr>
        <w:spacing w:line="360" w:lineRule="auto"/>
        <w:jc w:val="both"/>
        <w:textAlignment w:val="center"/>
        <w:rPr>
          <w:color w:val="000000"/>
        </w:rPr>
      </w:pP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提高国有企业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效率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减少对经济活动的干预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实行生产资料私有制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放弃国家垄断资本主义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阿尔及利亚国歌歌词《誓言》作于1955年，内容如下：来见证!来见证!来见证!法国啊，你们 的大势已去矣；我们将你们的章节写完毕。法国啊，算账的日子已接近，就准备好响应我们的反击，我们革命不再是纸上谈兵，我们要让阿尔及利亚活下去。对此国歌解读正确的是（   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①创作于日内瓦会议前</w:t>
      </w:r>
      <w:r>
        <w:rPr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②正值战后民族解放运动高涨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③反对法国种族主义</w:t>
      </w:r>
      <w:r>
        <w:rPr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④呼吁开展武装斗争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②④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②③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二、非选择题：本题共3题，满分52分。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阅读材料，完成下列要求。</w:t>
      </w:r>
    </w:p>
    <w:p>
      <w:pPr>
        <w:spacing w:line="360" w:lineRule="auto"/>
        <w:ind w:firstLine="420"/>
        <w:jc w:val="both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材料一：北宋景德四年(公元1007年),绩溪人胡忠在徽州创建了安徽省最早的桂枝书院。此后，这种我国封建社会所特有的教育组织就扎根于徽州大地，至1906年各书院均改办学堂为止，前后延续了九百年。徽州书院大致可分为三大类型：地方官员牵头，民间助资兴建；世家望族为方便族中子弟就读、培养士子业儒入仕举办的各种家族式书院；徽州理学家因讲学和传播理学需要，由讲学者本人或其弟子所创办的书院。其中以歙县紫阳书院最为著名，自1246年创建以来，一直是新安理学的中心。徽州书院以儒家经义为教学的核心内容。讲授重点为四书、六经。书院大多宗法朱熹白鹿洞书院学规，采取自主钻研、相互问答、集中讲解的教学方法。这些凝聚着先人智慧的精华，在古徽州大地上历经几百年的传递与强化，形成了一些独具特色的优良教育传统。</w:t>
      </w:r>
    </w:p>
    <w:p>
      <w:pPr>
        <w:spacing w:line="360" w:lineRule="auto"/>
        <w:jc w:val="righ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——摘编自姚辉《徽州书院教育研究》</w:t>
      </w:r>
    </w:p>
    <w:p>
      <w:pPr>
        <w:spacing w:line="360" w:lineRule="auto"/>
        <w:ind w:firstLine="420"/>
        <w:jc w:val="both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材料二：1898年，清政府颁布《京师大学堂章程》,京师大学堂正式创立。但它真正实施科学教育是在1902年之后。京师大学堂在课程的设置上有算学，格致学、政治学(含法律学)、地理学、农学等共10门课程，另设英、法、俄、德、日五种外语，增加了许多西学课程，缩减了经学课的比重。京师大学堂中科学课程的教学比较注重实验和观察等科学教育方法，为了培养学生运用知识于实际以及动手操作能力，学堂于1907年成立了“博物品实习科”,教学使用的模型、标本和图画都由学生自己动手制作。经过十多年的发展，京师大学堂的科学教育体制日臻完备，从知识结构、思维习惯、价值观念直至行为方式等方面，为近代中国的社会改革培养了早期的科学人才，他们在不同的社会岗位上、在传递和运用科学知识上发挥了先导作用。</w:t>
      </w:r>
    </w:p>
    <w:p>
      <w:pPr>
        <w:spacing w:line="360" w:lineRule="auto"/>
        <w:jc w:val="righ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——摘编自吴云鹏《京师大学堂科学教育变革中的文化碰撞》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根据材料一并结合所学知识，说明宋代徽州地区书院教育发展的原因及其影响。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根据材料二，指出与宋代书院教育相比，京师大学堂科学教育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不同之处，并结合所学知识分析其实施的背景。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阅读材料，完成下列要求。</w:t>
      </w:r>
    </w:p>
    <w:p>
      <w:pPr>
        <w:spacing w:line="360" w:lineRule="auto"/>
        <w:ind w:firstLine="420"/>
        <w:jc w:val="both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材料：1876年，迪亚斯上台，作为一个经济上的自由主义者，他向外国开放市场，吸引外资，大力发展农、矿等初级产品出口，从发达国家进口制成品，发展出口经济。这是一种依附性的增长模式，依赖一两种出口产品的经济严重受制于外国市场和资本……1910年资产阶级革命后墨西哥开始探索自主性的发展道路。20世纪30年代经济大危机成为促使墨西哥经济发展模式转变的决定性因素，第二次世界大战又进一步推动了墨西哥进口替代工业化的发展。为推动面向内部市场的本国工业的发展，墨西哥政府全面干预经济生活，提高关税，引进外资，建立国有企业，发展和完善基础设施。墨西哥的进口替代工业化政策取得了很大的成功。但是，随着工业化的深入，进口替代战略本身的局限愈加显著。</w:t>
      </w:r>
    </w:p>
    <w:p>
      <w:pPr>
        <w:spacing w:line="360" w:lineRule="auto"/>
        <w:ind w:firstLine="420"/>
        <w:jc w:val="both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20世纪80年代债务危机爆发后，和其他拉美国家一样，墨西哥陷入了“失去的十年”。经济增长率降低到半个世纪以来的最低点，外贸逆差扩大，通货膨胀加剧，失业率大幅度上升。从1982年开始，在国际货币基金组织、世界银行等国际金融机构的压力和指导下，墨西哥被迫推行新自由主义经济改革。1986年9月，墨西哥加入关税及贸易总协定，降低或取消关税壁垒，促进出口。1992年，墨西哥和美国、加拿大签署《北美自由贸易协定》,加入北美自由贸易区。新自由主义改革的推行，使墨西哥几乎完全放弃了长期以来推行的进口替代工业化战略，转向一种新的外向型发展模式，墨西哥的经济走上了恢复和增长之路。</w:t>
      </w:r>
    </w:p>
    <w:p>
      <w:pPr>
        <w:spacing w:line="360" w:lineRule="auto"/>
        <w:jc w:val="righ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——摘编自董经胜《墨西哥现代化模式的转换及其经验教训》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根据材料和所学知识，概括墨西哥进口替代工业化实施的背景及其特点。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根据材料并结合所学知识，说明墨西哥是如何应对20世纪80年代的债务危机，并谈谈墨西哥现代化道路对发展中国家的启示。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阅读材料，完成下列要求。</w:t>
      </w:r>
    </w:p>
    <w:p>
      <w:pPr>
        <w:spacing w:line="360" w:lineRule="auto"/>
        <w:ind w:firstLine="420"/>
        <w:jc w:val="both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材料：作为政治生活中的“无形”资源，政党形象既是一个政党性质、宗旨、纲领、历史使命的外在展现，也是政党的重要政治资本和政治软实力，并与自身政治活动与执政事业休戚相关。中国共产党历经百年风雨，一个“大党”的形象终于在历史淬炼与时代呼唤中跃然而出。回顾“大党”形象塑造的百年历程，既有历经生死考验的革命者与正义者的形象，也有在弱贫中突围的建设者与改革者形象，更有新时代民族复兴的引领者形象。这些形象贯穿于党的百年发展历程，犹如高高扬起的精神旗帜，始终引领着中国前进的方向，凝聚着伟大的力量。</w:t>
      </w:r>
    </w:p>
    <w:p>
      <w:pPr>
        <w:spacing w:line="360" w:lineRule="auto"/>
        <w:jc w:val="righ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——摘编自王强《中国共产党形象塑造的百年历程与现实启示》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根据材料，结合中国近现代史相关知识，围绕“中国共产党形象”这一主题，就材料整体或其中任意一点拟定一个论题并予以阐述。(要求：观点明确，史论结合；逻辑严密，表达清晰。)</w:t>
      </w:r>
    </w:p>
    <w:p>
      <w:pPr>
        <w:spacing w:line="360" w:lineRule="auto"/>
        <w:jc w:val="both"/>
        <w:textAlignment w:val="center"/>
        <w:rPr>
          <w:color w:val="000000"/>
        </w:rPr>
      </w:pPr>
    </w:p>
    <w:p>
      <w:pPr>
        <w:spacing w:line="360" w:lineRule="auto"/>
        <w:jc w:val="both"/>
        <w:textAlignment w:val="center"/>
        <w:rPr>
          <w:color w:val="000000"/>
        </w:rPr>
      </w:pPr>
    </w:p>
    <w:sectPr>
      <w:headerReference r:id="rId3" w:type="default"/>
      <w:footerReference r:id="rId4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JlZGVlOTE3YTVjZWIyNzg2ZWFhNTZjMDQ1NWE4NmMifQ=="/>
  </w:docVars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50C9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AA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1951107C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image" Target="media/image4.png"/><Relationship Id="rId7" Type="http://schemas.openxmlformats.org/officeDocument/2006/relationships/image" Target="media/image3.w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307460-9DFB-479F-8EE5-A342464829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0</Words>
  <Characters>0</Characters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2024-05-08T12:30:00Z</dcterms:created>
  <dcterms:modified xsi:type="dcterms:W3CDTF">2024-05-11T05:56:22Z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2052-12.1.0.16729</vt:lpwstr>
  </property>
  <property fmtid="{D5CDD505-2E9C-101B-9397-08002B2CF9AE}" pid="7" name="ICV">
    <vt:lpwstr>1BA551D6CC3240D89B5EC71D101DD0D6_12</vt:lpwstr>
  </property>
</Properties>
</file>