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F21F6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10248900</wp:posOffset>
            </wp:positionV>
            <wp:extent cx="368300" cy="444500"/>
            <wp:wrapNone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sz w:val="32"/>
          <w:szCs w:val="32"/>
        </w:rPr>
        <w:t>南京市</w:t>
      </w:r>
      <w:r>
        <w:rPr>
          <w:rFonts w:ascii="Times New Roman" w:hAnsi="Times New Roman" w:hint="eastAsia"/>
          <w:b/>
          <w:sz w:val="32"/>
          <w:szCs w:val="32"/>
        </w:rPr>
        <w:t>2024</w:t>
      </w:r>
      <w:r>
        <w:rPr>
          <w:rFonts w:ascii="Times New Roman" w:hAnsi="Times New Roman" w:hint="eastAsia"/>
          <w:b/>
          <w:sz w:val="32"/>
          <w:szCs w:val="32"/>
        </w:rPr>
        <w:t>届高三年级第二次模拟考试</w:t>
      </w:r>
    </w:p>
    <w:p w:rsidR="00F21F6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地理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注意事项：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1</w:t>
      </w:r>
      <w:r>
        <w:rPr>
          <w:rFonts w:ascii="Times New Roman" w:hAnsi="Times New Roman" w:hint="eastAsia"/>
          <w:sz w:val="24"/>
        </w:rPr>
        <w:t>．本试卷共</w:t>
      </w:r>
      <w:r>
        <w:rPr>
          <w:rFonts w:ascii="Times New Roman" w:hAnsi="Times New Roman" w:hint="eastAsia"/>
          <w:sz w:val="24"/>
        </w:rPr>
        <w:t>8</w:t>
      </w:r>
      <w:r>
        <w:rPr>
          <w:rFonts w:ascii="Times New Roman" w:hAnsi="Times New Roman" w:hint="eastAsia"/>
          <w:sz w:val="24"/>
        </w:rPr>
        <w:t>页，满分为</w:t>
      </w:r>
      <w:r>
        <w:rPr>
          <w:rFonts w:ascii="Times New Roman" w:hAnsi="Times New Roman" w:hint="eastAsia"/>
          <w:sz w:val="24"/>
        </w:rPr>
        <w:t>100</w:t>
      </w:r>
      <w:r>
        <w:rPr>
          <w:rFonts w:ascii="Times New Roman" w:hAnsi="Times New Roman" w:hint="eastAsia"/>
          <w:sz w:val="24"/>
        </w:rPr>
        <w:t>分，考试时间为</w:t>
      </w:r>
      <w:r>
        <w:rPr>
          <w:rFonts w:ascii="Times New Roman" w:hAnsi="Times New Roman" w:hint="eastAsia"/>
          <w:sz w:val="24"/>
        </w:rPr>
        <w:t>75</w:t>
      </w:r>
      <w:r>
        <w:rPr>
          <w:rFonts w:ascii="Times New Roman" w:hAnsi="Times New Roman" w:hint="eastAsia"/>
          <w:sz w:val="24"/>
        </w:rPr>
        <w:t>分钟。考试结束后，请将本试卷和答题卡一并交回。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2</w:t>
      </w:r>
      <w:r>
        <w:rPr>
          <w:rFonts w:ascii="Times New Roman" w:hAnsi="Times New Roman" w:hint="eastAsia"/>
          <w:sz w:val="24"/>
        </w:rPr>
        <w:t>．答题前，请务必将自己的姓名、准考证号用</w:t>
      </w:r>
      <w:r>
        <w:rPr>
          <w:rFonts w:ascii="Times New Roman" w:hAnsi="Times New Roman" w:hint="eastAsia"/>
          <w:sz w:val="24"/>
        </w:rPr>
        <w:t>0.5</w:t>
      </w:r>
      <w:r>
        <w:rPr>
          <w:rFonts w:ascii="Times New Roman" w:hAnsi="Times New Roman" w:hint="eastAsia"/>
          <w:sz w:val="24"/>
        </w:rPr>
        <w:t>毫米黑色墨水的签字笔填写在试卷及答题卡的规定位置。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3</w:t>
      </w:r>
      <w:r>
        <w:rPr>
          <w:rFonts w:ascii="Times New Roman" w:hAnsi="Times New Roman" w:hint="eastAsia"/>
          <w:sz w:val="24"/>
        </w:rPr>
        <w:t>．请认真核对监考员在答题卡上所粘贴的条形码上的姓名、准考证号与本人是否相符。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4</w:t>
      </w:r>
      <w:r>
        <w:rPr>
          <w:rFonts w:ascii="Times New Roman" w:hAnsi="Times New Roman" w:hint="eastAsia"/>
          <w:sz w:val="24"/>
        </w:rPr>
        <w:t>．作答选择题，必须用</w:t>
      </w:r>
      <w:r>
        <w:rPr>
          <w:rFonts w:ascii="Times New Roman" w:hAnsi="Times New Roman" w:hint="eastAsia"/>
          <w:sz w:val="24"/>
        </w:rPr>
        <w:t>2B</w:t>
      </w:r>
      <w:r>
        <w:rPr>
          <w:rFonts w:ascii="Times New Roman" w:hAnsi="Times New Roman" w:hint="eastAsia"/>
          <w:sz w:val="24"/>
        </w:rPr>
        <w:t>铅笔将答题卡上对应选项的方框涂满、涂黑；如需改动，请用橡皮擦干净后，再选</w:t>
      </w:r>
      <w:r>
        <w:rPr>
          <w:rFonts w:ascii="Times New Roman" w:hAnsi="Times New Roman" w:hint="eastAsia"/>
          <w:sz w:val="24"/>
        </w:rPr>
        <w:t>涂其他</w:t>
      </w:r>
      <w:r>
        <w:rPr>
          <w:rFonts w:ascii="Times New Roman" w:hAnsi="Times New Roman" w:hint="eastAsia"/>
          <w:sz w:val="24"/>
        </w:rPr>
        <w:t>答案。</w:t>
      </w:r>
      <w:r>
        <w:rPr>
          <w:rFonts w:ascii="Times New Roman" w:hAnsi="Times New Roman" w:hint="eastAsia"/>
          <w:sz w:val="24"/>
        </w:rPr>
        <w:t>作答非</w:t>
      </w:r>
      <w:r>
        <w:rPr>
          <w:rFonts w:ascii="Times New Roman" w:hAnsi="Times New Roman" w:hint="eastAsia"/>
          <w:sz w:val="24"/>
        </w:rPr>
        <w:t>选择题，必须用</w:t>
      </w:r>
      <w:r>
        <w:rPr>
          <w:rFonts w:ascii="Times New Roman" w:hAnsi="Times New Roman" w:hint="eastAsia"/>
          <w:sz w:val="24"/>
        </w:rPr>
        <w:t>0.5</w:t>
      </w:r>
      <w:r>
        <w:rPr>
          <w:rFonts w:ascii="Times New Roman" w:hAnsi="Times New Roman" w:hint="eastAsia"/>
          <w:sz w:val="24"/>
        </w:rPr>
        <w:t>毫米黑色墨水的签字笔在答题卡上的指定位置作答，在其他位置作答一律无效。</w:t>
      </w:r>
    </w:p>
    <w:p w:rsidR="00F21F6A">
      <w:pPr>
        <w:spacing w:line="288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5</w:t>
      </w:r>
      <w:r>
        <w:rPr>
          <w:rFonts w:ascii="Times New Roman" w:hAnsi="Times New Roman" w:hint="eastAsia"/>
          <w:sz w:val="24"/>
        </w:rPr>
        <w:t>．如需作图，必须用</w:t>
      </w:r>
      <w:r>
        <w:rPr>
          <w:rFonts w:ascii="Times New Roman" w:hAnsi="Times New Roman" w:hint="eastAsia"/>
          <w:sz w:val="24"/>
        </w:rPr>
        <w:t>2B</w:t>
      </w:r>
      <w:r>
        <w:rPr>
          <w:rFonts w:ascii="Times New Roman" w:hAnsi="Times New Roman" w:hint="eastAsia"/>
          <w:sz w:val="24"/>
        </w:rPr>
        <w:t>铅笔绘、写清楚，线条、符号等须加黑、加粗。</w:t>
      </w:r>
    </w:p>
    <w:p w:rsidR="00F21F6A"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一、选择题：本大题共</w:t>
      </w:r>
      <w:r>
        <w:rPr>
          <w:rFonts w:ascii="Times New Roman" w:hAnsi="Times New Roman" w:hint="eastAsia"/>
          <w:b/>
          <w:sz w:val="24"/>
        </w:rPr>
        <w:t>23</w:t>
      </w:r>
      <w:r>
        <w:rPr>
          <w:rFonts w:ascii="Times New Roman" w:hAnsi="Times New Roman" w:hint="eastAsia"/>
          <w:b/>
          <w:sz w:val="24"/>
        </w:rPr>
        <w:t>小题，每小题</w:t>
      </w: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hint="eastAsia"/>
          <w:b/>
          <w:sz w:val="24"/>
        </w:rPr>
        <w:t>分，共计</w:t>
      </w:r>
      <w:r>
        <w:rPr>
          <w:rFonts w:ascii="Times New Roman" w:hAnsi="Times New Roman" w:hint="eastAsia"/>
          <w:b/>
          <w:sz w:val="24"/>
        </w:rPr>
        <w:t>46</w:t>
      </w:r>
      <w:r>
        <w:rPr>
          <w:rFonts w:ascii="Times New Roman" w:hAnsi="Times New Roman" w:hint="eastAsia"/>
          <w:b/>
          <w:sz w:val="24"/>
        </w:rPr>
        <w:t>分。在每小题给出的四个选项中，只有一项是符合题目要求的。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北京时间</w:t>
      </w:r>
      <w:r>
        <w:rPr>
          <w:rFonts w:ascii="楷体" w:eastAsia="楷体" w:hAnsi="楷体" w:hint="eastAsia"/>
        </w:rPr>
        <w:t>2024</w:t>
      </w:r>
      <w:r>
        <w:rPr>
          <w:rFonts w:ascii="楷体" w:eastAsia="楷体" w:hAnsi="楷体" w:hint="eastAsia"/>
        </w:rPr>
        <w:t>年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月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日</w:t>
      </w:r>
      <w:r>
        <w:rPr>
          <w:rFonts w:ascii="楷体" w:eastAsia="楷体" w:hAnsi="楷体" w:hint="eastAsia"/>
        </w:rPr>
        <w:t>4</w:t>
      </w:r>
      <w:r>
        <w:rPr>
          <w:rFonts w:ascii="楷体" w:eastAsia="楷体" w:hAnsi="楷体" w:hint="eastAsia"/>
        </w:rPr>
        <w:t>：</w:t>
      </w:r>
      <w:r>
        <w:rPr>
          <w:rFonts w:ascii="楷体" w:eastAsia="楷体" w:hAnsi="楷体" w:hint="eastAsia"/>
        </w:rPr>
        <w:t>44</w:t>
      </w:r>
      <w:r>
        <w:rPr>
          <w:rFonts w:ascii="楷体" w:eastAsia="楷体" w:hAnsi="楷体" w:hint="eastAsia"/>
        </w:rPr>
        <w:t>，一位摄影师在江苏省南京市成功捕捉到中国空间站凌月的精彩瞬间（图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）。据此回答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3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447800" cy="15506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38" cy="15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1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．中国空间站凌月瞬间难以捕捉，主要原因是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地球公转速度较快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．空间站公转速度快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．月球自转周期较长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．南京黑夜时间较短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．中国空间站凌月时，全球昼夜分布状况最接近的是（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noProof/>
        </w:rPr>
        <w:drawing>
          <wp:inline distT="0" distB="0" distL="0" distR="0">
            <wp:extent cx="734695" cy="72898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805" cy="72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</w:t>
      </w:r>
      <w:r>
        <w:rPr>
          <w:noProof/>
        </w:rPr>
        <w:drawing>
          <wp:inline distT="0" distB="0" distL="0" distR="0">
            <wp:extent cx="745490" cy="7124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691" cy="7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</w:t>
      </w:r>
      <w:r>
        <w:rPr>
          <w:noProof/>
        </w:rPr>
        <w:drawing>
          <wp:inline distT="0" distB="0" distL="0" distR="0">
            <wp:extent cx="718185" cy="718185"/>
            <wp:effectExtent l="0" t="0" r="5715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476" cy="7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</w:t>
      </w:r>
      <w:r>
        <w:rPr>
          <w:noProof/>
        </w:rPr>
        <w:drawing>
          <wp:inline distT="0" distB="0" distL="0" distR="0">
            <wp:extent cx="892175" cy="718185"/>
            <wp:effectExtent l="0" t="0" r="3175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2652" cy="7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．此次空间站凌月当日，南京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迎接新年时间晚于北京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．正午太阳高度角达到一年中最小值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．日落的地方时早于北京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．日出在本次凌月时空间站飞离方向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八美石林</w:t>
      </w:r>
      <w:r>
        <w:rPr>
          <w:rFonts w:ascii="楷体" w:eastAsia="楷体" w:hAnsi="楷体" w:hint="eastAsia"/>
        </w:rPr>
        <w:t>是世界罕见的石林奇观，位于雅</w:t>
      </w:r>
      <w:r>
        <w:rPr>
          <w:rFonts w:ascii="楷体" w:eastAsia="楷体" w:hAnsi="楷体" w:hint="eastAsia"/>
        </w:rPr>
        <w:t>砻</w:t>
      </w:r>
      <w:r>
        <w:rPr>
          <w:rFonts w:ascii="楷体" w:eastAsia="楷体" w:hAnsi="楷体" w:hint="eastAsia"/>
        </w:rPr>
        <w:t>江支流卡玛河上游地区，由断裂破碎的千枚岩及千枚状板岩组成，具有显</w:t>
      </w:r>
      <w:r>
        <w:rPr>
          <w:rFonts w:ascii="楷体" w:eastAsia="楷体" w:hAnsi="楷体" w:hint="eastAsia"/>
        </w:rPr>
        <w:t>著的脆弱性。图</w:t>
      </w:r>
      <w:r>
        <w:rPr>
          <w:rFonts w:ascii="楷体" w:eastAsia="楷体" w:hAnsi="楷体" w:hint="eastAsia"/>
        </w:rPr>
        <w:t>2</w:t>
      </w:r>
      <w:r>
        <w:rPr>
          <w:rFonts w:ascii="楷体" w:eastAsia="楷体" w:hAnsi="楷体" w:hint="eastAsia"/>
        </w:rPr>
        <w:t>为八美石林</w:t>
      </w:r>
      <w:r>
        <w:rPr>
          <w:rFonts w:ascii="楷体" w:eastAsia="楷体" w:hAnsi="楷体" w:hint="eastAsia"/>
        </w:rPr>
        <w:t>景观图，图</w:t>
      </w:r>
      <w:r>
        <w:rPr>
          <w:rFonts w:ascii="楷体" w:eastAsia="楷体" w:hAnsi="楷体" w:hint="eastAsia"/>
        </w:rPr>
        <w:t>3</w:t>
      </w:r>
      <w:r>
        <w:rPr>
          <w:rFonts w:ascii="楷体" w:eastAsia="楷体" w:hAnsi="楷体" w:hint="eastAsia"/>
        </w:rPr>
        <w:t>示意岩石圈物质循环过程。据此回答</w:t>
      </w:r>
      <w:r>
        <w:rPr>
          <w:rFonts w:ascii="楷体" w:eastAsia="楷体" w:hAnsi="楷体" w:hint="eastAsia"/>
        </w:rPr>
        <w:t>4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6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080385" cy="1033780"/>
            <wp:effectExtent l="0" t="0" r="571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0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ind w:firstLine="840" w:firstLineChars="40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 xml:space="preserve">2                         </w:t>
      </w: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3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八美石林</w:t>
      </w:r>
      <w:r>
        <w:rPr>
          <w:rFonts w:ascii="Times New Roman" w:hAnsi="Times New Roman" w:hint="eastAsia"/>
        </w:rPr>
        <w:t>岩体的成因是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①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．②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．③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．④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与八美石林</w:t>
      </w:r>
      <w:r>
        <w:rPr>
          <w:rFonts w:ascii="Times New Roman" w:hAnsi="Times New Roman" w:hint="eastAsia"/>
        </w:rPr>
        <w:t>脆弱性关联度最大的是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地貌类型多样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．降水较为</w:t>
      </w:r>
      <w:r>
        <w:rPr>
          <w:rFonts w:ascii="Times New Roman" w:hAnsi="Times New Roman" w:hint="eastAsia"/>
        </w:rPr>
        <w:t>丰富</w:t>
      </w:r>
      <w:r>
        <w:rPr>
          <w:rFonts w:ascii="Times New Roman" w:hAnsi="Times New Roman" w:hint="eastAsia"/>
        </w:rPr>
        <w:tab/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．基础建设不足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．保护意识不够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N</w:t>
      </w:r>
      <w:r>
        <w:rPr>
          <w:rFonts w:ascii="Times New Roman" w:hAnsi="Times New Roman" w:hint="eastAsia"/>
        </w:rPr>
        <w:t>分立沟谷两侧，导致其石林坡度不同的主要因素是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降水差异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．岩石组成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．上覆植被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．地质构造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图</w:t>
      </w:r>
      <w:r>
        <w:rPr>
          <w:rFonts w:ascii="楷体" w:eastAsia="楷体" w:hAnsi="楷体" w:hint="eastAsia"/>
        </w:rPr>
        <w:t>4</w:t>
      </w:r>
      <w:r>
        <w:rPr>
          <w:rFonts w:ascii="楷体" w:eastAsia="楷体" w:hAnsi="楷体" w:hint="eastAsia"/>
        </w:rPr>
        <w:t>为</w:t>
      </w:r>
      <w:r>
        <w:rPr>
          <w:rFonts w:ascii="楷体" w:eastAsia="楷体" w:hAnsi="楷体" w:hint="eastAsia"/>
        </w:rPr>
        <w:t>2024</w:t>
      </w:r>
      <w:r>
        <w:rPr>
          <w:rFonts w:ascii="楷体" w:eastAsia="楷体" w:hAnsi="楷体" w:hint="eastAsia"/>
        </w:rPr>
        <w:t>年</w:t>
      </w:r>
      <w:r>
        <w:rPr>
          <w:rFonts w:ascii="楷体" w:eastAsia="楷体" w:hAnsi="楷体" w:hint="eastAsia"/>
        </w:rPr>
        <w:t>3</w:t>
      </w:r>
      <w:r>
        <w:rPr>
          <w:rFonts w:ascii="楷体" w:eastAsia="楷体" w:hAnsi="楷体" w:hint="eastAsia"/>
        </w:rPr>
        <w:t>月</w:t>
      </w:r>
      <w:r>
        <w:rPr>
          <w:rFonts w:ascii="楷体" w:eastAsia="楷体" w:hAnsi="楷体" w:hint="eastAsia"/>
        </w:rPr>
        <w:t>21</w:t>
      </w:r>
      <w:r>
        <w:rPr>
          <w:rFonts w:ascii="楷体" w:eastAsia="楷体" w:hAnsi="楷体" w:hint="eastAsia"/>
        </w:rPr>
        <w:t>日某时刻世界部分区域海平面天气图（单位：</w:t>
      </w:r>
      <w:r>
        <w:rPr>
          <w:rFonts w:ascii="楷体" w:eastAsia="楷体" w:hAnsi="楷体" w:hint="eastAsia"/>
        </w:rPr>
        <w:t>hpa</w:t>
      </w:r>
      <w:r>
        <w:rPr>
          <w:rFonts w:ascii="楷体" w:eastAsia="楷体" w:hAnsi="楷体" w:hint="eastAsia"/>
        </w:rPr>
        <w:t>）。据此回答</w:t>
      </w:r>
      <w:r>
        <w:rPr>
          <w:rFonts w:ascii="楷体" w:eastAsia="楷体" w:hAnsi="楷体" w:hint="eastAsia"/>
        </w:rPr>
        <w:t>7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8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93290" cy="2225675"/>
            <wp:effectExtent l="0" t="0" r="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3529" cy="2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4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．此时，北半球各地的天气状况为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我国东南炎热干燥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．印度半岛风力强劲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．冰岛附近飓风影响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．欧洲南部高压控制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．关于甲天气系统叙述正确的是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可能来自于北极地区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．主要是动力作用形成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．向北美的西北部移动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．高空的气流辐散下沉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悬浮泥沙的输送扩散是陆海相互作用的重要内容，山东半岛附近海域是渤海高浓度泥沙向黄海输运的重要通道。图</w:t>
      </w:r>
      <w:r>
        <w:rPr>
          <w:rFonts w:ascii="楷体" w:eastAsia="楷体" w:hAnsi="楷体" w:hint="eastAsia"/>
        </w:rPr>
        <w:t>5</w:t>
      </w:r>
      <w:r>
        <w:rPr>
          <w:rFonts w:ascii="楷体" w:eastAsia="楷体" w:hAnsi="楷体" w:hint="eastAsia"/>
        </w:rPr>
        <w:t>表示山东半岛附近海域（沿</w:t>
      </w:r>
      <w:r>
        <w:rPr>
          <w:rFonts w:ascii="楷体" w:eastAsia="楷体" w:hAnsi="楷体" w:hint="eastAsia"/>
        </w:rPr>
        <w:t>37</w:t>
      </w:r>
      <w:r>
        <w:rPr>
          <w:rFonts w:ascii="楷体" w:eastAsia="楷体" w:hAnsi="楷体" w:hint="eastAsia"/>
        </w:rPr>
        <w:t>°</w:t>
      </w:r>
      <w:r>
        <w:rPr>
          <w:rFonts w:ascii="楷体" w:eastAsia="楷体" w:hAnsi="楷体" w:hint="eastAsia"/>
        </w:rPr>
        <w:t>N</w:t>
      </w:r>
      <w:r>
        <w:rPr>
          <w:rFonts w:ascii="楷体" w:eastAsia="楷体" w:hAnsi="楷体" w:hint="eastAsia"/>
        </w:rPr>
        <w:t>断面）海洋表层悬浮泥沙浓度时空变化特征。据此回答</w:t>
      </w:r>
      <w:r>
        <w:rPr>
          <w:rFonts w:ascii="楷体" w:eastAsia="楷体" w:hAnsi="楷体" w:hint="eastAsia"/>
        </w:rPr>
        <w:t>9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11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935095" cy="2846070"/>
            <wp:effectExtent l="0" t="0" r="825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5289" cy="28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5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>．图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所示季节分别为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春季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夏季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秋季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冬季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．夏季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春季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秋季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冬季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．秋季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夏季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冬季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春季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．冬季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秋季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夏季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春季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．影响该海域悬浮泥沙浓度季节变化的主要因素是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蒸发量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．入海径流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．盛行风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．海底地形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11</w:t>
      </w:r>
      <w:r>
        <w:rPr>
          <w:rFonts w:ascii="Times New Roman" w:hAnsi="Times New Roman" w:hint="eastAsia"/>
        </w:rPr>
        <w:t>．悬浮泥沙时空变化的研究有助于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分析全球气候变化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．监测海洋生态环境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．保障海洋运输安全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．探寻潮汐运动规律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玛纳斯河位于天山北麓中段、准噶尔盆地南缘，古气候变化是引起该流域植被演变的主要原因。图</w:t>
      </w:r>
      <w:r>
        <w:rPr>
          <w:rFonts w:ascii="楷体" w:eastAsia="楷体" w:hAnsi="楷体" w:hint="eastAsia"/>
        </w:rPr>
        <w:t>6</w:t>
      </w:r>
      <w:r>
        <w:rPr>
          <w:rFonts w:ascii="楷体" w:eastAsia="楷体" w:hAnsi="楷体" w:hint="eastAsia"/>
        </w:rPr>
        <w:t>示意距今</w:t>
      </w:r>
      <w:r>
        <w:rPr>
          <w:rFonts w:ascii="楷体" w:eastAsia="楷体" w:hAnsi="楷体" w:hint="eastAsia"/>
        </w:rPr>
        <w:t>4800</w:t>
      </w:r>
      <w:r>
        <w:rPr>
          <w:rFonts w:ascii="楷体" w:eastAsia="楷体" w:hAnsi="楷体" w:hint="eastAsia"/>
        </w:rPr>
        <w:t>年来玛纳斯河流域植被垂直带的推移。据此回答</w:t>
      </w:r>
      <w:r>
        <w:rPr>
          <w:rFonts w:ascii="楷体" w:eastAsia="楷体" w:hAnsi="楷体" w:hint="eastAsia"/>
        </w:rPr>
        <w:t>12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13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131820" cy="14884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902" cy="14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6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12</w:t>
      </w:r>
      <w:r>
        <w:rPr>
          <w:rFonts w:ascii="Times New Roman" w:hAnsi="Times New Roman" w:hint="eastAsia"/>
        </w:rPr>
        <w:t>．植被类型Ⅱ、</w:t>
      </w:r>
      <w:r>
        <w:rPr>
          <w:rFonts w:ascii="Times New Roman" w:hAnsi="Times New Roman" w:hint="eastAsia"/>
        </w:rPr>
        <w:t>Ⅲ分别</w:t>
      </w:r>
      <w:r>
        <w:rPr>
          <w:rFonts w:ascii="Times New Roman" w:hAnsi="Times New Roman" w:hint="eastAsia"/>
        </w:rPr>
        <w:t>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高山草甸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高山针叶林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．高寒荒漠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高山针叶林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．高寒荒漠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针阔混交林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．荒漠草原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高山草原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13</w:t>
      </w:r>
      <w:r>
        <w:rPr>
          <w:rFonts w:ascii="Times New Roman" w:hAnsi="Times New Roman" w:hint="eastAsia"/>
        </w:rPr>
        <w:t>．玛纳斯河流域植被垂直带的推移，反映的气候变化过程是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冷</w:t>
      </w:r>
      <w:r>
        <w:rPr>
          <w:rFonts w:ascii="Times New Roman" w:hAnsi="Times New Roman" w:hint="eastAsia"/>
        </w:rPr>
        <w:t>湿—暖干</w:t>
      </w:r>
      <w:r>
        <w:rPr>
          <w:rFonts w:ascii="Times New Roman" w:hAnsi="Times New Roman" w:hint="eastAsia"/>
        </w:rPr>
        <w:t>—冷湿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．暖干—冷</w:t>
      </w:r>
      <w:r>
        <w:rPr>
          <w:rFonts w:ascii="Times New Roman" w:hAnsi="Times New Roman" w:hint="eastAsia"/>
        </w:rPr>
        <w:t>湿—暖干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．暖湿—冷干—暖湿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．冷干—暖湿—冷干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由于地理区位、自然资源和历史人文等因素的差异，村镇聚落体系一般分为城区型、近郊型、远郊型、</w:t>
      </w:r>
      <w:r>
        <w:rPr>
          <w:rFonts w:ascii="楷体" w:eastAsia="楷体" w:hAnsi="楷体" w:hint="eastAsia"/>
        </w:rPr>
        <w:t>山区型。图</w:t>
      </w:r>
      <w:r>
        <w:rPr>
          <w:rFonts w:ascii="楷体" w:eastAsia="楷体" w:hAnsi="楷体" w:hint="eastAsia"/>
        </w:rPr>
        <w:t>7</w:t>
      </w:r>
      <w:r>
        <w:rPr>
          <w:rFonts w:ascii="楷体" w:eastAsia="楷体" w:hAnsi="楷体" w:hint="eastAsia"/>
        </w:rPr>
        <w:t>示意广东省</w:t>
      </w:r>
      <w:r>
        <w:rPr>
          <w:rFonts w:ascii="楷体" w:eastAsia="楷体" w:hAnsi="楷体" w:hint="eastAsia"/>
        </w:rPr>
        <w:t>2021</w:t>
      </w:r>
      <w:r>
        <w:rPr>
          <w:rFonts w:ascii="楷体" w:eastAsia="楷体" w:hAnsi="楷体" w:hint="eastAsia"/>
        </w:rPr>
        <w:t>年不同类型村镇聚落体系发育程度及城镇化率，β值越大表示村镇聚落体系发育越成熟。据此回答</w:t>
      </w:r>
      <w:r>
        <w:rPr>
          <w:rFonts w:ascii="楷体" w:eastAsia="楷体" w:hAnsi="楷体" w:hint="eastAsia"/>
        </w:rPr>
        <w:t>14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16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051685" cy="1333500"/>
            <wp:effectExtent l="0" t="0" r="571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2011" cy="13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7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>．图中Ⅰ、Ⅱ、Ⅲ、Ⅳ型表示的村镇聚落体系分别为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远郊型、城区型、近郊型、山区型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．山区型、近郊型、城区型、远郊型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．山区型、城区型、近郊型、远郊型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．远郊型、近郊型、城区型、山区型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15</w:t>
      </w:r>
      <w:r>
        <w:rPr>
          <w:rFonts w:ascii="Times New Roman" w:hAnsi="Times New Roman" w:hint="eastAsia"/>
        </w:rPr>
        <w:t>．广东省不同类型村镇聚落体系的主要发展表现为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近郊型</w:t>
      </w:r>
      <w:r>
        <w:rPr>
          <w:rFonts w:ascii="Times New Roman" w:hAnsi="Times New Roman" w:hint="eastAsia"/>
        </w:rPr>
        <w:t>—村镇聚落体系已经瓦解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．远郊型—土地利用集约程度降低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．城区型—村镇</w:t>
      </w:r>
      <w:r>
        <w:rPr>
          <w:rFonts w:ascii="Times New Roman" w:hAnsi="Times New Roman" w:hint="eastAsia"/>
        </w:rPr>
        <w:t>板块</w:t>
      </w:r>
      <w:r>
        <w:rPr>
          <w:rFonts w:ascii="Times New Roman" w:hAnsi="Times New Roman" w:hint="eastAsia"/>
        </w:rPr>
        <w:t>趋于集中布局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．山区型—以交通线为发展轴聚集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．为了实现高质量的城镇化和农业农村现代化发展，近郊型村镇聚落应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大力承接高新技术产业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．发展特色农业和农产品加工业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．积极推进逆城镇化进程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．完善基础设施以实现均衡发展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考古学家在阿姆河流域卡</w:t>
      </w:r>
      <w:r>
        <w:rPr>
          <w:rFonts w:ascii="楷体" w:eastAsia="楷体" w:hAnsi="楷体" w:hint="eastAsia"/>
        </w:rPr>
        <w:t>尔查延遗址</w:t>
      </w:r>
      <w:r>
        <w:rPr>
          <w:rFonts w:ascii="楷体" w:eastAsia="楷体" w:hAnsi="楷体" w:hint="eastAsia"/>
        </w:rPr>
        <w:t>中发现了水稻遗存和灌溉水渠系统。图</w:t>
      </w:r>
      <w:r>
        <w:rPr>
          <w:rFonts w:ascii="楷体" w:eastAsia="楷体" w:hAnsi="楷体" w:hint="eastAsia"/>
        </w:rPr>
        <w:t>8</w:t>
      </w:r>
      <w:r>
        <w:rPr>
          <w:rFonts w:ascii="楷体" w:eastAsia="楷体" w:hAnsi="楷体" w:hint="eastAsia"/>
        </w:rPr>
        <w:t>表示水稻在亚洲部分地区的传播路径。据此回答</w:t>
      </w:r>
      <w:r>
        <w:rPr>
          <w:rFonts w:ascii="楷体" w:eastAsia="楷体" w:hAnsi="楷体" w:hint="eastAsia"/>
        </w:rPr>
        <w:t>17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19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325495" cy="1991995"/>
            <wp:effectExtent l="0" t="0" r="8255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5673" cy="19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8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17</w:t>
      </w:r>
      <w:r>
        <w:rPr>
          <w:rFonts w:ascii="Times New Roman" w:hAnsi="Times New Roman" w:hint="eastAsia"/>
        </w:rPr>
        <w:t>．亚洲水稻传播路径具有的特征是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地域性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．等距性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．均衡性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．同向性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 w:hint="eastAsia"/>
        </w:rPr>
        <w:t>论证卡尔查延</w:t>
      </w:r>
      <w:r>
        <w:rPr>
          <w:rFonts w:ascii="Times New Roman" w:hAnsi="Times New Roman" w:hint="eastAsia"/>
        </w:rPr>
        <w:t>遗址水稻的来源地，其最有利证据是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空间位置临近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．稻谷形态相似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．文化习俗趋同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．生长环境相同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19</w:t>
      </w:r>
      <w:r>
        <w:rPr>
          <w:rFonts w:ascii="Times New Roman" w:hAnsi="Times New Roman" w:hint="eastAsia"/>
        </w:rPr>
        <w:t>．水稻在卡</w:t>
      </w:r>
      <w:r>
        <w:rPr>
          <w:rFonts w:ascii="Times New Roman" w:hAnsi="Times New Roman" w:hint="eastAsia"/>
        </w:rPr>
        <w:t>尔查延种植</w:t>
      </w:r>
      <w:r>
        <w:rPr>
          <w:rFonts w:ascii="Times New Roman" w:hAnsi="Times New Roman" w:hint="eastAsia"/>
        </w:rPr>
        <w:t>之后产生的直接影响是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生产力水平提升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．人口迅速增长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．饮食结构变化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．聚落规模扩大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在国家生态安全战略格局中，山西汾河上游地区位于北方防沙带和</w:t>
      </w:r>
      <w:r>
        <w:rPr>
          <w:rFonts w:ascii="楷体" w:eastAsia="楷体" w:hAnsi="楷体" w:hint="eastAsia"/>
        </w:rPr>
        <w:t>黄土高原—川滇</w:t>
      </w:r>
      <w:r>
        <w:rPr>
          <w:rFonts w:ascii="楷体" w:eastAsia="楷体" w:hAnsi="楷体" w:hint="eastAsia"/>
        </w:rPr>
        <w:t>生态屏障的交接处，是影响国家生态安全的重要功能区。图</w:t>
      </w:r>
      <w:r>
        <w:rPr>
          <w:rFonts w:ascii="楷体" w:eastAsia="楷体" w:hAnsi="楷体" w:hint="eastAsia"/>
        </w:rPr>
        <w:t>9</w:t>
      </w:r>
      <w:r>
        <w:rPr>
          <w:rFonts w:ascii="楷体" w:eastAsia="楷体" w:hAnsi="楷体" w:hint="eastAsia"/>
        </w:rPr>
        <w:t>为汾河上游地区生态功能分区图。据此回答</w:t>
      </w:r>
      <w:r>
        <w:rPr>
          <w:rFonts w:ascii="楷体" w:eastAsia="楷体" w:hAnsi="楷体" w:hint="eastAsia"/>
        </w:rPr>
        <w:t>20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21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19580" cy="1577975"/>
            <wp:effectExtent l="0" t="0" r="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988" cy="15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9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20</w:t>
      </w:r>
      <w:r>
        <w:rPr>
          <w:rFonts w:ascii="Times New Roman" w:hAnsi="Times New Roman" w:hint="eastAsia"/>
        </w:rPr>
        <w:t>．据图</w:t>
      </w:r>
      <w:r>
        <w:rPr>
          <w:rFonts w:ascii="Times New Roman" w:hAnsi="Times New Roman" w:hint="eastAsia"/>
        </w:rPr>
        <w:t>推测该地的地势特征为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北高南低，东西高中间低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．南高北低，中间</w:t>
      </w:r>
      <w:r>
        <w:rPr>
          <w:rFonts w:ascii="Times New Roman" w:hAnsi="Times New Roman" w:hint="eastAsia"/>
        </w:rPr>
        <w:t>高东西低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．东高西低，南北高中间低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．西高东低，中间高南北低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21</w:t>
      </w:r>
      <w:r>
        <w:rPr>
          <w:rFonts w:ascii="Times New Roman" w:hAnsi="Times New Roman" w:hint="eastAsia"/>
        </w:rPr>
        <w:t>．图中各生态功能区的发展方向为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重点城镇群—优化开发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．生物多样性保护区</w:t>
      </w:r>
      <w:r>
        <w:rPr>
          <w:rFonts w:ascii="Times New Roman" w:hAnsi="Times New Roman" w:hint="eastAsia"/>
        </w:rPr>
        <w:t>—重点</w:t>
      </w:r>
      <w:r>
        <w:rPr>
          <w:rFonts w:ascii="Times New Roman" w:hAnsi="Times New Roman" w:hint="eastAsia"/>
        </w:rPr>
        <w:t>开发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．水土保持区—禁止开发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．农林牧复合生态区</w:t>
      </w:r>
      <w:r>
        <w:rPr>
          <w:rFonts w:ascii="Times New Roman" w:hAnsi="Times New Roman" w:hint="eastAsia"/>
        </w:rPr>
        <w:t>—限制</w:t>
      </w:r>
      <w:r>
        <w:rPr>
          <w:rFonts w:ascii="Times New Roman" w:hAnsi="Times New Roman" w:hint="eastAsia"/>
        </w:rPr>
        <w:t>开发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截至</w:t>
      </w:r>
      <w:r>
        <w:rPr>
          <w:rFonts w:ascii="楷体" w:eastAsia="楷体" w:hAnsi="楷体" w:hint="eastAsia"/>
        </w:rPr>
        <w:t>2012</w:t>
      </w:r>
      <w:r>
        <w:rPr>
          <w:rFonts w:ascii="楷体" w:eastAsia="楷体" w:hAnsi="楷体" w:hint="eastAsia"/>
        </w:rPr>
        <w:t>年，国家分三批确定了</w:t>
      </w:r>
      <w:r>
        <w:rPr>
          <w:rFonts w:ascii="楷体" w:eastAsia="楷体" w:hAnsi="楷体" w:hint="eastAsia"/>
        </w:rPr>
        <w:t>69</w:t>
      </w:r>
      <w:r>
        <w:rPr>
          <w:rFonts w:ascii="楷体" w:eastAsia="楷体" w:hAnsi="楷体" w:hint="eastAsia"/>
        </w:rPr>
        <w:t>个资源枯竭型城市。该类城市发展的一般规律是“建设—繁荣—衰退—转型—振兴或消亡”。据此回答</w:t>
      </w:r>
      <w:r>
        <w:rPr>
          <w:rFonts w:ascii="楷体" w:eastAsia="楷体" w:hAnsi="楷体" w:hint="eastAsia"/>
        </w:rPr>
        <w:t>22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23</w:t>
      </w:r>
      <w:r>
        <w:rPr>
          <w:rFonts w:ascii="楷体" w:eastAsia="楷体" w:hAnsi="楷体" w:hint="eastAsia"/>
        </w:rPr>
        <w:t>题。</w:t>
      </w:r>
    </w:p>
    <w:p w:rsidR="00F21F6A">
      <w:pPr>
        <w:spacing w:line="288" w:lineRule="auto"/>
        <w:jc w:val="left"/>
        <w:rPr>
          <w:rFonts w:ascii="楷体" w:eastAsia="楷体" w:hAnsi="楷体"/>
        </w:rPr>
      </w:pPr>
      <w:r>
        <w:rPr>
          <w:noProof/>
        </w:rPr>
        <w:drawing>
          <wp:inline distT="0" distB="0" distL="0" distR="0">
            <wp:extent cx="1757680" cy="1764665"/>
            <wp:effectExtent l="0" t="0" r="1397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22</w:t>
      </w:r>
      <w:r>
        <w:rPr>
          <w:rFonts w:ascii="Times New Roman" w:hAnsi="Times New Roman" w:hint="eastAsia"/>
        </w:rPr>
        <w:t>．资源枯竭型城市最可能位于图中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2100"/>
          <w:tab w:val="left" w:pos="4200"/>
          <w:tab w:val="left" w:pos="63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第一区间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．第二区间</w:t>
      </w:r>
      <w:r>
        <w:rPr>
          <w:rFonts w:ascii="Times New Roman" w:hAnsi="Times New Roman" w:hint="eastAsia"/>
        </w:rPr>
        <w:tab/>
        <w:t>C</w:t>
      </w:r>
      <w:r>
        <w:rPr>
          <w:rFonts w:ascii="Times New Roman" w:hAnsi="Times New Roman" w:hint="eastAsia"/>
        </w:rPr>
        <w:t>．第三区间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．第四区间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23</w:t>
      </w:r>
      <w:r>
        <w:rPr>
          <w:rFonts w:ascii="Times New Roman" w:hAnsi="Times New Roman" w:hint="eastAsia"/>
        </w:rPr>
        <w:t>．下列符合我国资源枯竭型城市转型发展的措施是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）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增加投入，发展特色旅游</w:t>
      </w:r>
      <w:r>
        <w:rPr>
          <w:rFonts w:ascii="Times New Roman" w:hAnsi="Times New Roman" w:hint="eastAsia"/>
        </w:rPr>
        <w:tab/>
        <w:t>B</w:t>
      </w:r>
      <w:r>
        <w:rPr>
          <w:rFonts w:ascii="Times New Roman" w:hAnsi="Times New Roman" w:hint="eastAsia"/>
        </w:rPr>
        <w:t>．治理污染，发展立体农业</w:t>
      </w:r>
    </w:p>
    <w:p w:rsidR="00F21F6A">
      <w:pPr>
        <w:tabs>
          <w:tab w:val="left" w:pos="4200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．调整产业结构，发展煤炭化工产业</w:t>
      </w:r>
      <w:r>
        <w:rPr>
          <w:rFonts w:ascii="Times New Roman" w:hAnsi="Times New Roman" w:hint="eastAsia"/>
        </w:rPr>
        <w:tab/>
        <w:t>D</w:t>
      </w:r>
      <w:r>
        <w:rPr>
          <w:rFonts w:ascii="Times New Roman" w:hAnsi="Times New Roman" w:hint="eastAsia"/>
        </w:rPr>
        <w:t>．土地填埋复垦，扩大粮食种植面积</w:t>
      </w:r>
    </w:p>
    <w:p w:rsidR="00F21F6A"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二、综合题：本大题共</w:t>
      </w: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hint="eastAsia"/>
          <w:b/>
          <w:sz w:val="24"/>
        </w:rPr>
        <w:t>小题，计</w:t>
      </w:r>
      <w:r>
        <w:rPr>
          <w:rFonts w:ascii="Times New Roman" w:hAnsi="Times New Roman" w:hint="eastAsia"/>
          <w:b/>
          <w:sz w:val="24"/>
        </w:rPr>
        <w:t>54</w:t>
      </w:r>
      <w:r>
        <w:rPr>
          <w:rFonts w:ascii="Times New Roman" w:hAnsi="Times New Roman" w:hint="eastAsia"/>
          <w:b/>
          <w:sz w:val="24"/>
        </w:rPr>
        <w:t>分。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24</w:t>
      </w:r>
      <w:r>
        <w:rPr>
          <w:rFonts w:ascii="Times New Roman" w:hAnsi="Times New Roman" w:hint="eastAsia"/>
        </w:rPr>
        <w:t>．阅读材料，回答下列问题。（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  <w:b/>
        </w:rPr>
        <w:t>材料</w:t>
      </w:r>
      <w:r>
        <w:rPr>
          <w:rFonts w:ascii="楷体" w:eastAsia="楷体" w:hAnsi="楷体" w:hint="eastAsia"/>
        </w:rPr>
        <w:t xml:space="preserve">  </w:t>
      </w:r>
      <w:r>
        <w:rPr>
          <w:rFonts w:ascii="楷体" w:eastAsia="楷体" w:hAnsi="楷体" w:hint="eastAsia"/>
        </w:rPr>
        <w:t>图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</w:rPr>
        <w:t>为非洲西部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月、</w:t>
      </w:r>
      <w:r>
        <w:rPr>
          <w:rFonts w:ascii="楷体" w:eastAsia="楷体" w:hAnsi="楷体" w:hint="eastAsia"/>
        </w:rPr>
        <w:t>7</w:t>
      </w:r>
      <w:r>
        <w:rPr>
          <w:rFonts w:ascii="楷体" w:eastAsia="楷体" w:hAnsi="楷体" w:hint="eastAsia"/>
        </w:rPr>
        <w:t>月等温线分布图。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370705" cy="1327785"/>
            <wp:effectExtent l="0" t="0" r="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0729" cy="13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10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）在</w:t>
      </w: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月等温线分布图的左上角的小方框中，用给定图例表示洋流性质及流向，并画出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两条海水等温线（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＞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）分别标注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。（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）判断甲地区的地形类型并说明理由，分析该地形对其西南沿海地区气候的影响。（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）比较图示区域内一月和七月气温分布的主要差异，并分析原因。（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25</w:t>
      </w:r>
      <w:r>
        <w:rPr>
          <w:rFonts w:ascii="Times New Roman" w:hAnsi="Times New Roman" w:hint="eastAsia"/>
        </w:rPr>
        <w:t>．阅读材料，回答下列问题。（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  <w:b/>
        </w:rPr>
        <w:t>材料</w:t>
      </w:r>
      <w:r>
        <w:rPr>
          <w:rFonts w:ascii="楷体" w:eastAsia="楷体" w:hAnsi="楷体" w:hint="eastAsia"/>
          <w:b/>
        </w:rPr>
        <w:t>一</w:t>
      </w:r>
      <w:r>
        <w:rPr>
          <w:rFonts w:ascii="楷体" w:eastAsia="楷体" w:hAnsi="楷体" w:hint="eastAsia"/>
        </w:rPr>
        <w:t xml:space="preserve">  </w:t>
      </w:r>
      <w:r>
        <w:rPr>
          <w:rFonts w:ascii="楷体" w:eastAsia="楷体" w:hAnsi="楷体" w:hint="eastAsia"/>
        </w:rPr>
        <w:t>桃树适宜在年平均气温</w:t>
      </w:r>
      <w:r>
        <w:rPr>
          <w:rFonts w:ascii="楷体" w:eastAsia="楷体" w:hAnsi="楷体" w:hint="eastAsia"/>
        </w:rPr>
        <w:t>8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14</w:t>
      </w:r>
      <w:r>
        <w:rPr>
          <w:rFonts w:ascii="楷体" w:eastAsia="楷体" w:hAnsi="楷体" w:hint="eastAsia"/>
        </w:rPr>
        <w:t>℃的冷凉地区生长，较为耐旱，但在年降水量小于</w:t>
      </w:r>
      <w:r>
        <w:rPr>
          <w:rFonts w:ascii="楷体" w:eastAsia="楷体" w:hAnsi="楷体" w:hint="eastAsia"/>
        </w:rPr>
        <w:t>400mm</w:t>
      </w:r>
      <w:r>
        <w:rPr>
          <w:rFonts w:ascii="楷体" w:eastAsia="楷体" w:hAnsi="楷体" w:hint="eastAsia"/>
        </w:rPr>
        <w:t>的地区需要灌溉。结合桃树的生长习性，将宁夏划分为桃树适宜区、次适宜区、不适宜区及不可</w:t>
      </w:r>
      <w:r>
        <w:rPr>
          <w:rFonts w:ascii="楷体" w:eastAsia="楷体" w:hAnsi="楷体" w:hint="eastAsia"/>
        </w:rPr>
        <w:t>种植区（图</w:t>
      </w:r>
      <w:r>
        <w:rPr>
          <w:rFonts w:ascii="楷体" w:eastAsia="楷体" w:hAnsi="楷体" w:hint="eastAsia"/>
        </w:rPr>
        <w:t>11</w:t>
      </w:r>
      <w:r>
        <w:rPr>
          <w:rFonts w:ascii="楷体" w:eastAsia="楷体" w:hAnsi="楷体" w:hint="eastAsia"/>
        </w:rPr>
        <w:t>）。图</w:t>
      </w:r>
      <w:r>
        <w:rPr>
          <w:rFonts w:ascii="楷体" w:eastAsia="楷体" w:hAnsi="楷体" w:hint="eastAsia"/>
        </w:rPr>
        <w:t>12</w:t>
      </w:r>
      <w:r>
        <w:rPr>
          <w:rFonts w:ascii="楷体" w:eastAsia="楷体" w:hAnsi="楷体" w:hint="eastAsia"/>
        </w:rPr>
        <w:t>为宁夏年平均气温、年降水量分布图。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  <w:b/>
        </w:rPr>
        <w:t>材料二</w:t>
      </w:r>
      <w:r>
        <w:rPr>
          <w:rFonts w:ascii="楷体" w:eastAsia="楷体" w:hAnsi="楷体" w:hint="eastAsia"/>
        </w:rPr>
        <w:t xml:space="preserve">  </w:t>
      </w:r>
      <w:r>
        <w:rPr>
          <w:rFonts w:ascii="楷体" w:eastAsia="楷体" w:hAnsi="楷体" w:hint="eastAsia"/>
        </w:rPr>
        <w:t>目前，宁夏多地采用塑料大棚种植桃树，实现了高产、提质、增收。该种植方式的过程是：秋季，土壤深翻、整平并灌足水；土壤微干后起垄，在垄上开挖</w:t>
      </w:r>
      <w:r>
        <w:rPr>
          <w:rFonts w:ascii="楷体" w:eastAsia="楷体" w:hAnsi="楷体" w:hint="eastAsia"/>
        </w:rPr>
        <w:t>栽植沟并栽苗</w:t>
      </w:r>
      <w:r>
        <w:rPr>
          <w:rFonts w:ascii="楷体" w:eastAsia="楷体" w:hAnsi="楷体" w:hint="eastAsia"/>
        </w:rPr>
        <w:t>；</w:t>
      </w:r>
      <w:r>
        <w:rPr>
          <w:rFonts w:ascii="楷体" w:eastAsia="楷体" w:hAnsi="楷体" w:hint="eastAsia"/>
        </w:rPr>
        <w:t>3</w:t>
      </w:r>
      <w:r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5</w:t>
      </w:r>
      <w:r>
        <w:rPr>
          <w:rFonts w:ascii="楷体" w:eastAsia="楷体" w:hAnsi="楷体" w:hint="eastAsia"/>
        </w:rPr>
        <w:t>天后，在行内地面覆盖地膜或防草布。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842385" cy="1975485"/>
            <wp:effectExtent l="0" t="0" r="5715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2758" cy="197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ind w:firstLine="1260" w:firstLineChars="60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 xml:space="preserve">11                       </w:t>
      </w: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12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）评价宁夏种植桃树的气候条件。（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）写出桃树种植次适宜区的编号，并说明判断理由。（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）据材料二分析该种植过程各环节的合理性。（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．阅读材料，回答下列问题</w:t>
      </w:r>
      <w:r>
        <w:rPr>
          <w:rFonts w:ascii="Times New Roman" w:hAnsi="Times New Roman" w:hint="eastAsia"/>
        </w:rPr>
        <w:t>。（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  <w:b/>
        </w:rPr>
        <w:t>材料</w:t>
      </w:r>
      <w:r>
        <w:rPr>
          <w:rFonts w:ascii="楷体" w:eastAsia="楷体" w:hAnsi="楷体" w:hint="eastAsia"/>
          <w:b/>
        </w:rPr>
        <w:t>一</w:t>
      </w:r>
      <w:r>
        <w:rPr>
          <w:rFonts w:ascii="楷体" w:eastAsia="楷体" w:hAnsi="楷体" w:hint="eastAsia"/>
        </w:rPr>
        <w:t xml:space="preserve">  </w:t>
      </w:r>
      <w:r>
        <w:rPr>
          <w:rFonts w:ascii="楷体" w:eastAsia="楷体" w:hAnsi="楷体" w:hint="eastAsia"/>
        </w:rPr>
        <w:t>江苏拥江临海</w:t>
      </w:r>
      <w:r>
        <w:rPr>
          <w:rFonts w:ascii="楷体" w:eastAsia="楷体" w:hAnsi="楷体" w:hint="eastAsia"/>
        </w:rPr>
        <w:t>，区位优势独特，海洋资源禀赋富有特色。近年来，江苏省着力建设海洋强省，大力发展特色海洋经济。</w:t>
      </w:r>
    </w:p>
    <w:p w:rsidR="00F21F6A">
      <w:pPr>
        <w:spacing w:line="288" w:lineRule="auto"/>
        <w:ind w:firstLine="420" w:firstLineChars="20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  <w:b/>
        </w:rPr>
        <w:t>材料二</w:t>
      </w:r>
      <w:r>
        <w:rPr>
          <w:rFonts w:ascii="楷体" w:eastAsia="楷体" w:hAnsi="楷体" w:hint="eastAsia"/>
        </w:rPr>
        <w:t xml:space="preserve">  </w:t>
      </w:r>
      <w:r>
        <w:rPr>
          <w:rFonts w:ascii="楷体" w:eastAsia="楷体" w:hAnsi="楷体" w:hint="eastAsia"/>
        </w:rPr>
        <w:t>表</w:t>
      </w:r>
      <w:r>
        <w:rPr>
          <w:rFonts w:ascii="楷体" w:eastAsia="楷体" w:hAnsi="楷体" w:hint="eastAsia"/>
        </w:rPr>
        <w:t>1</w:t>
      </w:r>
      <w:r>
        <w:rPr>
          <w:rFonts w:ascii="楷体" w:eastAsia="楷体" w:hAnsi="楷体" w:hint="eastAsia"/>
        </w:rPr>
        <w:t>为</w:t>
      </w:r>
      <w:r>
        <w:rPr>
          <w:rFonts w:ascii="楷体" w:eastAsia="楷体" w:hAnsi="楷体" w:hint="eastAsia"/>
        </w:rPr>
        <w:t>2020</w:t>
      </w:r>
      <w:r>
        <w:rPr>
          <w:rFonts w:ascii="楷体" w:eastAsia="楷体" w:hAnsi="楷体" w:hint="eastAsia"/>
        </w:rPr>
        <w:t>年到</w:t>
      </w:r>
      <w:r>
        <w:rPr>
          <w:rFonts w:ascii="楷体" w:eastAsia="楷体" w:hAnsi="楷体" w:hint="eastAsia"/>
        </w:rPr>
        <w:t>2022</w:t>
      </w:r>
      <w:r>
        <w:rPr>
          <w:rFonts w:ascii="楷体" w:eastAsia="楷体" w:hAnsi="楷体" w:hint="eastAsia"/>
        </w:rPr>
        <w:t>年江苏海洋产业经济统计。图</w:t>
      </w:r>
      <w:r>
        <w:rPr>
          <w:rFonts w:ascii="楷体" w:eastAsia="楷体" w:hAnsi="楷体" w:hint="eastAsia"/>
        </w:rPr>
        <w:t>13</w:t>
      </w:r>
      <w:r>
        <w:rPr>
          <w:rFonts w:ascii="楷体" w:eastAsia="楷体" w:hAnsi="楷体" w:hint="eastAsia"/>
        </w:rPr>
        <w:t>为江苏省“十四五”海洋经济空间规划布局示意图。</w:t>
      </w:r>
    </w:p>
    <w:p w:rsidR="00F21F6A">
      <w:pPr>
        <w:spacing w:line="288" w:lineRule="auto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表</w:t>
      </w:r>
      <w:r>
        <w:rPr>
          <w:rFonts w:ascii="楷体" w:eastAsia="楷体" w:hAnsi="楷体" w:hint="eastAsia"/>
        </w:rPr>
        <w:t>1</w:t>
      </w:r>
    </w:p>
    <w:tbl>
      <w:tblPr>
        <w:tblStyle w:val="TableGrid"/>
        <w:tblW w:w="0" w:type="auto"/>
        <w:tblLook w:val="04A0"/>
      </w:tblPr>
      <w:tblGrid>
        <w:gridCol w:w="3227"/>
        <w:gridCol w:w="2247"/>
        <w:gridCol w:w="2247"/>
        <w:gridCol w:w="2247"/>
      </w:tblGrid>
      <w:tr>
        <w:tblPrEx>
          <w:tblW w:w="0" w:type="auto"/>
          <w:tblLook w:val="04A0"/>
        </w:tblPrEx>
        <w:tc>
          <w:tcPr>
            <w:tcW w:w="322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2020</w:t>
            </w:r>
            <w:r>
              <w:rPr>
                <w:rFonts w:ascii="楷体" w:eastAsia="楷体" w:hAnsi="楷体" w:hint="eastAsia"/>
              </w:rPr>
              <w:t>年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2021</w:t>
            </w:r>
            <w:r>
              <w:rPr>
                <w:rFonts w:ascii="楷体" w:eastAsia="楷体" w:hAnsi="楷体" w:hint="eastAsia"/>
              </w:rPr>
              <w:t>年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2022</w:t>
            </w:r>
            <w:r>
              <w:rPr>
                <w:rFonts w:ascii="楷体" w:eastAsia="楷体" w:hAnsi="楷体" w:hint="eastAsia"/>
              </w:rPr>
              <w:t>年</w:t>
            </w:r>
          </w:p>
        </w:tc>
      </w:tr>
      <w:tr>
        <w:tblPrEx>
          <w:tblW w:w="0" w:type="auto"/>
          <w:tblLook w:val="04A0"/>
        </w:tblPrEx>
        <w:tc>
          <w:tcPr>
            <w:tcW w:w="322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海洋生产总值（亿元）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7828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8422.7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9046.2</w:t>
            </w:r>
          </w:p>
        </w:tc>
      </w:tr>
      <w:tr>
        <w:tblPrEx>
          <w:tblW w:w="0" w:type="auto"/>
          <w:tblLook w:val="04A0"/>
        </w:tblPrEx>
        <w:tc>
          <w:tcPr>
            <w:tcW w:w="322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海洋生产总值占</w:t>
            </w:r>
            <w:r>
              <w:rPr>
                <w:rFonts w:ascii="楷体" w:eastAsia="楷体" w:hAnsi="楷体" w:hint="eastAsia"/>
              </w:rPr>
              <w:t>GDP</w:t>
            </w:r>
            <w:r>
              <w:rPr>
                <w:rFonts w:ascii="楷体" w:eastAsia="楷体" w:hAnsi="楷体" w:hint="eastAsia"/>
              </w:rPr>
              <w:t>比重（</w:t>
            </w:r>
            <w:r>
              <w:rPr>
                <w:rFonts w:ascii="楷体" w:eastAsia="楷体" w:hAnsi="楷体" w:hint="eastAsia"/>
              </w:rPr>
              <w:t>%</w:t>
            </w:r>
            <w:r>
              <w:rPr>
                <w:rFonts w:ascii="楷体" w:eastAsia="楷体" w:hAnsi="楷体" w:hint="eastAsia"/>
              </w:rPr>
              <w:t>）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7.2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7.2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7.4</w:t>
            </w:r>
          </w:p>
        </w:tc>
      </w:tr>
      <w:tr>
        <w:tblPrEx>
          <w:tblW w:w="0" w:type="auto"/>
          <w:tblLook w:val="04A0"/>
        </w:tblPrEx>
        <w:tc>
          <w:tcPr>
            <w:tcW w:w="322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海洋三大产业结构（</w:t>
            </w:r>
            <w:r>
              <w:rPr>
                <w:rFonts w:ascii="楷体" w:eastAsia="楷体" w:hAnsi="楷体" w:hint="eastAsia"/>
              </w:rPr>
              <w:t>%</w:t>
            </w:r>
            <w:r>
              <w:rPr>
                <w:rFonts w:ascii="楷体" w:eastAsia="楷体" w:hAnsi="楷体" w:hint="eastAsia"/>
              </w:rPr>
              <w:t>）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5.6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48.2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46.2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3.3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41.6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55.1</w:t>
            </w:r>
          </w:p>
        </w:tc>
        <w:tc>
          <w:tcPr>
            <w:tcW w:w="224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3.2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41.6</w:t>
            </w:r>
            <w:r>
              <w:rPr>
                <w:rFonts w:ascii="楷体" w:eastAsia="楷体" w:hAnsi="楷体" w:hint="eastAsia"/>
              </w:rPr>
              <w:t>：</w:t>
            </w:r>
            <w:r>
              <w:rPr>
                <w:rFonts w:ascii="楷体" w:eastAsia="楷体" w:hAnsi="楷体" w:hint="eastAsia"/>
              </w:rPr>
              <w:t>55.2</w:t>
            </w:r>
          </w:p>
        </w:tc>
      </w:tr>
    </w:tbl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166745" cy="2459990"/>
            <wp:effectExtent l="0" t="0" r="14605" b="165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13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）描述江苏海洋产业变化的特点。（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）与沿海海洋经济隆起带相比，简述沿江海洋经济创新带发展的优势条件。（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）从自然资源开发利用角度，为沿海海洋经济隆起带的发展提出可行性建议。（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</w:p>
    <w:p w:rsidR="00F21F6A">
      <w:pPr>
        <w:spacing w:line="288" w:lineRule="auto"/>
        <w:jc w:val="left"/>
        <w:rPr>
          <w:rFonts w:ascii="Times New Roman" w:hAnsi="Times New Roman"/>
        </w:rPr>
      </w:pPr>
    </w:p>
    <w:p w:rsidR="00DE7BF4">
      <w:pPr>
        <w:widowControl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21F6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hint="eastAsia"/>
          <w:b/>
          <w:sz w:val="32"/>
          <w:szCs w:val="32"/>
        </w:rPr>
        <w:t>南京市</w:t>
      </w:r>
      <w:r>
        <w:rPr>
          <w:rFonts w:ascii="Times New Roman" w:hAnsi="Times New Roman" w:hint="eastAsia"/>
          <w:b/>
          <w:sz w:val="32"/>
          <w:szCs w:val="32"/>
        </w:rPr>
        <w:t>2024</w:t>
      </w:r>
      <w:r>
        <w:rPr>
          <w:rFonts w:ascii="Times New Roman" w:hAnsi="Times New Roman" w:hint="eastAsia"/>
          <w:b/>
          <w:sz w:val="32"/>
          <w:szCs w:val="32"/>
        </w:rPr>
        <w:t>届高三年级第二次模拟考试</w:t>
      </w:r>
    </w:p>
    <w:p w:rsidR="00F21F6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地理参考答案及评分标准</w:t>
      </w:r>
    </w:p>
    <w:p w:rsidR="00F21F6A"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一、单选题：本大题共</w:t>
      </w:r>
      <w:r>
        <w:rPr>
          <w:rFonts w:ascii="Times New Roman" w:hAnsi="Times New Roman" w:hint="eastAsia"/>
          <w:b/>
          <w:sz w:val="24"/>
        </w:rPr>
        <w:t>23</w:t>
      </w:r>
      <w:r>
        <w:rPr>
          <w:rFonts w:ascii="Times New Roman" w:hAnsi="Times New Roman" w:hint="eastAsia"/>
          <w:b/>
          <w:sz w:val="24"/>
        </w:rPr>
        <w:t>小题，每题</w:t>
      </w: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hint="eastAsia"/>
          <w:b/>
          <w:sz w:val="24"/>
        </w:rPr>
        <w:t>分，共计</w:t>
      </w:r>
      <w:r>
        <w:rPr>
          <w:rFonts w:ascii="Times New Roman" w:hAnsi="Times New Roman" w:hint="eastAsia"/>
          <w:b/>
          <w:sz w:val="24"/>
        </w:rPr>
        <w:t>46</w:t>
      </w:r>
      <w:r>
        <w:rPr>
          <w:rFonts w:ascii="Times New Roman" w:hAnsi="Times New Roman" w:hint="eastAsia"/>
          <w:b/>
          <w:sz w:val="24"/>
        </w:rPr>
        <w:t>分。</w:t>
      </w:r>
    </w:p>
    <w:tbl>
      <w:tblPr>
        <w:tblStyle w:val="TableGrid"/>
        <w:tblW w:w="0" w:type="auto"/>
        <w:tblLook w:val="04A0"/>
      </w:tblPr>
      <w:tblGrid>
        <w:gridCol w:w="766"/>
        <w:gridCol w:w="766"/>
        <w:gridCol w:w="766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>
        <w:tblPrEx>
          <w:tblW w:w="0" w:type="auto"/>
          <w:tblLook w:val="04A0"/>
        </w:tblPrEx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题号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</w:tr>
      <w:tr>
        <w:tblPrEx>
          <w:tblW w:w="0" w:type="auto"/>
          <w:tblLook w:val="04A0"/>
        </w:tblPrEx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答案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</w:tr>
      <w:tr>
        <w:tblPrEx>
          <w:tblW w:w="0" w:type="auto"/>
          <w:tblLook w:val="04A0"/>
        </w:tblPrEx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题号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14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17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18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22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23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答案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6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67" w:type="dxa"/>
            <w:vAlign w:val="center"/>
          </w:tcPr>
          <w:p w:rsidR="00F21F6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21F6A"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二、综合题：本大题共</w:t>
      </w: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hint="eastAsia"/>
          <w:b/>
          <w:sz w:val="24"/>
        </w:rPr>
        <w:t>小题，计</w:t>
      </w:r>
      <w:r>
        <w:rPr>
          <w:rFonts w:ascii="Times New Roman" w:hAnsi="Times New Roman" w:hint="eastAsia"/>
          <w:b/>
          <w:sz w:val="24"/>
        </w:rPr>
        <w:t>54</w:t>
      </w:r>
      <w:r>
        <w:rPr>
          <w:rFonts w:ascii="Times New Roman" w:hAnsi="Times New Roman" w:hint="eastAsia"/>
          <w:b/>
          <w:sz w:val="24"/>
        </w:rPr>
        <w:t>分。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24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）（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063875" cy="1676400"/>
            <wp:effectExtent l="0" t="0" r="317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6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（洋流性质及流向绘制都正确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分，等温线弯曲方向及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均标注都正确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）高原（山地）；判断理由：一月和七月月均温中间低，四周高。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夏季，来自海洋的西南季风，受该地形区抬升，增加降水。（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一月均温南高</w:t>
      </w:r>
      <w:r>
        <w:rPr>
          <w:rFonts w:ascii="Times New Roman" w:hAnsi="Times New Roman" w:hint="eastAsia"/>
        </w:rPr>
        <w:t>北低；七月均温北高南低。七月北部内陆出现高温中心。（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原因（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分）：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一月，太阳直射南半球，自南向北正午太阳高度和昼长递减，获得太阳辐射逐渐减少。七月，太阳直射北半球，自北向南正午太阳高度和昼长递减；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几内亚湾沿岸，降水丰富，削弱了太阳辐射；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北部撒哈拉地区，气候干旱，削弱的太阳辐射少；地表沙漠广布，吸收太阳辐射能力强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25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）有利条件：光照充足；昼夜温差大；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不利条件：冬季温度略低，可能受低温冻害；降水量少，需要灌溉。（每点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分共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）Ⅱ区域。（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相较于Ⅲ、Ⅳ该地年平均气温能够满足桃树的生长；临近黄河，灌溉便利；（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）土地深翻，疏松土</w:t>
      </w:r>
      <w:r>
        <w:rPr>
          <w:rFonts w:ascii="Times New Roman" w:hAnsi="Times New Roman" w:hint="eastAsia"/>
        </w:rPr>
        <w:t>壤，增强透水透气性；整平并灌足水，利于提高土壤含水量；起垄栽培，可增加土层厚度和肥力</w:t>
      </w:r>
      <w:r>
        <w:rPr>
          <w:rFonts w:ascii="Times New Roman" w:hAnsi="Times New Roman" w:hint="eastAsia"/>
        </w:rPr>
        <w:t>/</w:t>
      </w:r>
      <w:r>
        <w:rPr>
          <w:rFonts w:ascii="Times New Roman" w:hAnsi="Times New Roman" w:hint="eastAsia"/>
        </w:rPr>
        <w:t>便于防渍、减轻盐碱化；栽植沟种植，利于灌溉保水；覆盖地膜或防草布利于保湿增温</w:t>
      </w:r>
      <w:r>
        <w:rPr>
          <w:rFonts w:ascii="Times New Roman" w:hAnsi="Times New Roman" w:hint="eastAsia"/>
        </w:rPr>
        <w:t>/</w:t>
      </w:r>
      <w:r>
        <w:rPr>
          <w:rFonts w:ascii="Times New Roman" w:hAnsi="Times New Roman" w:hint="eastAsia"/>
        </w:rPr>
        <w:t>防草布还可防止杂草的生长。（</w:t>
      </w:r>
      <w:r>
        <w:rPr>
          <w:rFonts w:ascii="Times New Roman" w:hAnsi="Times New Roman" w:hint="eastAsia"/>
        </w:rPr>
        <w:t>任答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点</w:t>
      </w:r>
      <w:r>
        <w:rPr>
          <w:rFonts w:ascii="Times New Roman" w:hAnsi="Times New Roman" w:hint="eastAsia"/>
        </w:rPr>
        <w:t>共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．（</w:t>
      </w:r>
      <w:r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）总产值：海洋生产总值上升趋势明显；（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分）行业：海洋生产总值占</w:t>
      </w:r>
      <w:r>
        <w:rPr>
          <w:rFonts w:ascii="Times New Roman" w:hAnsi="Times New Roman" w:hint="eastAsia"/>
        </w:rPr>
        <w:t>GDP</w:t>
      </w:r>
      <w:r>
        <w:rPr>
          <w:rFonts w:ascii="Times New Roman" w:hAnsi="Times New Roman" w:hint="eastAsia"/>
        </w:rPr>
        <w:t>比重略有上升；（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分）结</w:t>
      </w:r>
      <w:r>
        <w:rPr>
          <w:rFonts w:ascii="Times New Roman" w:hAnsi="Times New Roman" w:hint="eastAsia"/>
        </w:rPr>
        <w:t>构：第一产业比重略有下降；从第二产业为主变成以三产为主，不断优化。（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）产业基础更雄厚，社会协作条件更好；基础设施较完善；滨江临海，江海联运便利；经济发展水平高，资金充足；科技</w:t>
      </w:r>
      <w:r>
        <w:rPr>
          <w:rFonts w:ascii="Times New Roman" w:hAnsi="Times New Roman" w:hint="eastAsia"/>
        </w:rPr>
        <w:t>水平高。（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分）</w:t>
      </w:r>
    </w:p>
    <w:p w:rsidR="00F21F6A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）依托丰富的滩涂资源，发展特色养殖业；依托海洋港口资源，发展航运、贸易等产业；依托海洋化学资源，发展海洋化工；依托丰富的风能资源，发展风力发电；依托沿海独特的旅游资源，发展生态旅游业。（</w:t>
      </w:r>
      <w:r>
        <w:rPr>
          <w:rFonts w:ascii="Times New Roman" w:hAnsi="Times New Roman" w:hint="eastAsia"/>
        </w:rPr>
        <w:t>任答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点</w:t>
      </w:r>
      <w:r>
        <w:rPr>
          <w:rFonts w:ascii="Times New Roman" w:hAnsi="Times New Roman" w:hint="eastAsia"/>
        </w:rPr>
        <w:t>共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</w:t>
      </w:r>
    </w:p>
    <w:sectPr>
      <w:pgSz w:w="11906" w:h="16838"/>
      <w:pgMar w:top="907" w:right="1077" w:bottom="1440" w:left="1077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23D1E"/>
    <w:rsid w:val="0016238F"/>
    <w:rsid w:val="00171458"/>
    <w:rsid w:val="00173C1D"/>
    <w:rsid w:val="001764C3"/>
    <w:rsid w:val="0018010E"/>
    <w:rsid w:val="00191C29"/>
    <w:rsid w:val="0019437F"/>
    <w:rsid w:val="001C63DA"/>
    <w:rsid w:val="001D0C6F"/>
    <w:rsid w:val="00201A7E"/>
    <w:rsid w:val="00204526"/>
    <w:rsid w:val="00221FC9"/>
    <w:rsid w:val="002323D2"/>
    <w:rsid w:val="00242A14"/>
    <w:rsid w:val="00244CEF"/>
    <w:rsid w:val="002457C2"/>
    <w:rsid w:val="00245E4D"/>
    <w:rsid w:val="002908F0"/>
    <w:rsid w:val="00294908"/>
    <w:rsid w:val="002A034F"/>
    <w:rsid w:val="002A0E5D"/>
    <w:rsid w:val="002A1A21"/>
    <w:rsid w:val="002E4B16"/>
    <w:rsid w:val="002F06B2"/>
    <w:rsid w:val="003102DB"/>
    <w:rsid w:val="003278F4"/>
    <w:rsid w:val="003625C4"/>
    <w:rsid w:val="00373D0A"/>
    <w:rsid w:val="003A43B4"/>
    <w:rsid w:val="003B1712"/>
    <w:rsid w:val="003C4A95"/>
    <w:rsid w:val="003D0C09"/>
    <w:rsid w:val="003E05D2"/>
    <w:rsid w:val="004062F6"/>
    <w:rsid w:val="004151FC"/>
    <w:rsid w:val="00430A44"/>
    <w:rsid w:val="00435F83"/>
    <w:rsid w:val="00444A46"/>
    <w:rsid w:val="004502F4"/>
    <w:rsid w:val="0046214C"/>
    <w:rsid w:val="0049183B"/>
    <w:rsid w:val="004A3430"/>
    <w:rsid w:val="004A6A39"/>
    <w:rsid w:val="004B44B5"/>
    <w:rsid w:val="004D44FD"/>
    <w:rsid w:val="00515E4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47ECE"/>
    <w:rsid w:val="006D5DE9"/>
    <w:rsid w:val="006F45E0"/>
    <w:rsid w:val="00701D6B"/>
    <w:rsid w:val="007061B2"/>
    <w:rsid w:val="00716D85"/>
    <w:rsid w:val="00723CEC"/>
    <w:rsid w:val="00740A09"/>
    <w:rsid w:val="00762E26"/>
    <w:rsid w:val="007706D9"/>
    <w:rsid w:val="007929E9"/>
    <w:rsid w:val="00794603"/>
    <w:rsid w:val="008028B5"/>
    <w:rsid w:val="00812723"/>
    <w:rsid w:val="00832EC9"/>
    <w:rsid w:val="008634CD"/>
    <w:rsid w:val="00863EA9"/>
    <w:rsid w:val="008731FA"/>
    <w:rsid w:val="00880A38"/>
    <w:rsid w:val="00884876"/>
    <w:rsid w:val="00890D86"/>
    <w:rsid w:val="00893DD6"/>
    <w:rsid w:val="00894EB4"/>
    <w:rsid w:val="008D2E94"/>
    <w:rsid w:val="008E71BB"/>
    <w:rsid w:val="009121D7"/>
    <w:rsid w:val="00951F31"/>
    <w:rsid w:val="00974E0F"/>
    <w:rsid w:val="00976BCC"/>
    <w:rsid w:val="00982128"/>
    <w:rsid w:val="009960D2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0618F"/>
    <w:rsid w:val="00C13493"/>
    <w:rsid w:val="00C15BC1"/>
    <w:rsid w:val="00C321EB"/>
    <w:rsid w:val="00C61837"/>
    <w:rsid w:val="00C9330F"/>
    <w:rsid w:val="00CA4A07"/>
    <w:rsid w:val="00CF1C5D"/>
    <w:rsid w:val="00D51257"/>
    <w:rsid w:val="00D634C2"/>
    <w:rsid w:val="00D756B6"/>
    <w:rsid w:val="00D77F6E"/>
    <w:rsid w:val="00DA0796"/>
    <w:rsid w:val="00DA5448"/>
    <w:rsid w:val="00DB6888"/>
    <w:rsid w:val="00DC061C"/>
    <w:rsid w:val="00DE7BF4"/>
    <w:rsid w:val="00DF071B"/>
    <w:rsid w:val="00E0093B"/>
    <w:rsid w:val="00E140EB"/>
    <w:rsid w:val="00E22C2C"/>
    <w:rsid w:val="00E50974"/>
    <w:rsid w:val="00E63075"/>
    <w:rsid w:val="00E97096"/>
    <w:rsid w:val="00EA0188"/>
    <w:rsid w:val="00EB17B4"/>
    <w:rsid w:val="00ED1550"/>
    <w:rsid w:val="00ED4F9A"/>
    <w:rsid w:val="00EE1A37"/>
    <w:rsid w:val="00F21C80"/>
    <w:rsid w:val="00F21F6A"/>
    <w:rsid w:val="00F24894"/>
    <w:rsid w:val="00F25257"/>
    <w:rsid w:val="00F37A38"/>
    <w:rsid w:val="00F41193"/>
    <w:rsid w:val="00F63260"/>
    <w:rsid w:val="00F676FD"/>
    <w:rsid w:val="00F72514"/>
    <w:rsid w:val="00FA0944"/>
    <w:rsid w:val="00FA6947"/>
    <w:rsid w:val="00FB34D2"/>
    <w:rsid w:val="00FB4B17"/>
    <w:rsid w:val="00FB6D04"/>
    <w:rsid w:val="00FC5860"/>
    <w:rsid w:val="00FD377B"/>
    <w:rsid w:val="00FF2D79"/>
    <w:rsid w:val="00FF517A"/>
    <w:rsid w:val="242B5040"/>
    <w:rsid w:val="38274566"/>
    <w:rsid w:val="598767FC"/>
    <w:rsid w:val="77236D87"/>
  </w:rsids>
  <w:docVars>
    <w:docVar w:name="commondata" w:val="eyJoZGlkIjoiYzZiODIyMGJkNmM4MDZjMGFiMWYwOWZjOTI3ZDU0OD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D284B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0"/>
    <w:autoRedefine/>
    <w:qFormat/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autoRedefine/>
    <w:uiPriority w:val="99"/>
    <w:qFormat/>
    <w:rPr>
      <w:kern w:val="2"/>
      <w:sz w:val="18"/>
      <w:szCs w:val="24"/>
    </w:rPr>
  </w:style>
  <w:style w:type="paragraph" w:styleId="NoSpacing">
    <w:name w:val="No Spacing"/>
    <w:autoRedefine/>
    <w:uiPriority w:val="1"/>
    <w:qFormat/>
    <w:rPr>
      <w:rFonts w:eastAsia="Microsoft YaHei UI"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autoRedefine/>
    <w:uiPriority w:val="99"/>
    <w:qFormat/>
    <w:pPr>
      <w:ind w:firstLine="420" w:firstLineChars="200"/>
    </w:pPr>
  </w:style>
  <w:style w:type="character" w:customStyle="1" w:styleId="Char0">
    <w:name w:val="批注框文本 Char"/>
    <w:basedOn w:val="DefaultParagraphFont"/>
    <w:link w:val="BalloonText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E5B77-6FE3-4617-866A-D77E0A42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