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jc w:val="center"/>
        <w:rPr>
          <w:rFonts w:ascii="黑体" w:eastAsia="黑体" w:hAnsi="黑体" w:cs="黑体" w:hint="eastAsia"/>
          <w:sz w:val="30"/>
          <w:szCs w:val="30"/>
          <w:lang w:val="en-US" w:eastAsia="zh-CN"/>
        </w:rPr>
      </w:pPr>
      <w:r>
        <w:rPr>
          <w:rFonts w:ascii="黑体" w:eastAsia="黑体" w:hAnsi="黑体" w:cs="黑体" w:hint="eastAsia"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11341100</wp:posOffset>
            </wp:positionV>
            <wp:extent cx="482600" cy="495300"/>
            <wp:wrapNone/>
            <wp:docPr id="1000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 w:val="30"/>
          <w:szCs w:val="30"/>
          <w:lang w:val="en-US" w:eastAsia="zh-CN"/>
        </w:rPr>
        <w:t>2023-2024学年度下学期武汉市重点中学5G联合体期中考试</w:t>
      </w:r>
    </w:p>
    <w:p>
      <w:pPr>
        <w:jc w:val="center"/>
        <w:rPr>
          <w:rFonts w:ascii="黑体" w:eastAsia="黑体" w:hAnsi="黑体" w:cs="黑体" w:hint="eastAsia"/>
          <w:b/>
          <w:bCs/>
          <w:sz w:val="44"/>
          <w:szCs w:val="52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44"/>
          <w:szCs w:val="52"/>
          <w:lang w:val="en-US" w:eastAsia="zh-CN"/>
        </w:rPr>
        <w:t>高二地理试卷</w:t>
      </w:r>
    </w:p>
    <w:p>
      <w:pPr>
        <w:jc w:val="center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命题学校：吴家山中学   命题教师：王欢 肖扬   审题教师：蒋泽川</w:t>
      </w:r>
    </w:p>
    <w:p>
      <w:pPr>
        <w:spacing w:line="240" w:lineRule="auto"/>
        <w:jc w:val="center"/>
        <w:rPr>
          <w:rFonts w:ascii="华文楷体" w:eastAsia="华文楷体" w:hAnsi="华文楷体" w:cs="华文楷体" w:hint="default"/>
          <w:color w:val="000000"/>
          <w:sz w:val="21"/>
          <w:szCs w:val="21"/>
          <w:lang w:val="en-US" w:eastAsia="zh-CN"/>
        </w:rPr>
      </w:pPr>
      <w:r>
        <w:rPr>
          <w:rFonts w:ascii="微软雅黑" w:eastAsia="微软雅黑" w:hAnsi="微软雅黑" w:cs="微软雅黑" w:hint="eastAsia"/>
          <w:color w:val="000000"/>
          <w:sz w:val="21"/>
          <w:szCs w:val="21"/>
          <w:lang w:val="en-US" w:eastAsia="zh-CN"/>
        </w:rPr>
        <w:t>★</w:t>
      </w:r>
      <w:r>
        <w:rPr>
          <w:rFonts w:ascii="黑体" w:eastAsia="黑体" w:hAnsi="黑体" w:cs="黑体" w:hint="eastAsia"/>
          <w:color w:val="000000"/>
          <w:sz w:val="21"/>
          <w:szCs w:val="21"/>
          <w:lang w:val="en-US" w:eastAsia="zh-CN"/>
        </w:rPr>
        <w:t>祝考试顺利</w:t>
      </w:r>
      <w:r>
        <w:rPr>
          <w:rFonts w:ascii="微软雅黑" w:eastAsia="微软雅黑" w:hAnsi="微软雅黑" w:cs="微软雅黑" w:hint="eastAsia"/>
          <w:color w:val="000000"/>
          <w:sz w:val="21"/>
          <w:szCs w:val="21"/>
          <w:lang w:val="en-US" w:eastAsia="zh-CN"/>
        </w:rPr>
        <w:t>★</w:t>
      </w:r>
    </w:p>
    <w:p>
      <w:pPr>
        <w:spacing w:line="240" w:lineRule="auto"/>
        <w:rPr>
          <w:rFonts w:eastAsia="黑体" w:hint="eastAsia"/>
          <w:color w:val="000000"/>
          <w:sz w:val="24"/>
          <w:szCs w:val="24"/>
        </w:rPr>
      </w:pPr>
      <w:r>
        <w:rPr>
          <w:rFonts w:eastAsia="黑体" w:hint="eastAsia"/>
          <w:color w:val="000000"/>
          <w:sz w:val="21"/>
          <w:szCs w:val="21"/>
        </w:rPr>
        <w:t>注意事项：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ascii="楷体" w:eastAsia="楷体" w:hAnsi="楷体" w:cs="楷体" w:hint="eastAsia"/>
          <w:szCs w:val="24"/>
          <w:lang w:val="en-US" w:eastAsia="zh-CN"/>
        </w:rPr>
      </w:pPr>
      <w:r>
        <w:rPr>
          <w:rFonts w:ascii="楷体" w:eastAsia="楷体" w:hAnsi="楷体" w:cs="楷体" w:hint="eastAsia"/>
          <w:szCs w:val="24"/>
          <w:lang w:val="en-US" w:eastAsia="zh-CN"/>
        </w:rPr>
        <w:t>1. 答卷前，先将自己的姓名、准考证号填写在试卷和答题卡上，并将准考证条形码粘贴在答题卡的指定位置。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ascii="楷体" w:eastAsia="楷体" w:hAnsi="楷体" w:cs="楷体" w:hint="eastAsia"/>
          <w:szCs w:val="24"/>
          <w:lang w:val="en-US" w:eastAsia="zh-CN"/>
        </w:rPr>
      </w:pPr>
      <w:r>
        <w:rPr>
          <w:rFonts w:ascii="楷体" w:eastAsia="楷体" w:hAnsi="楷体" w:cs="楷体" w:hint="eastAsia"/>
          <w:szCs w:val="24"/>
          <w:lang w:val="en-US" w:eastAsia="zh-CN"/>
        </w:rPr>
        <w:t>2. 选择题的作答：每小题选出答案后，用2B铅笔把答题卡上对应题目的答案标号涂黑。写在试卷、草稿纸和答题卡上的非答题区域均无效。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ascii="楷体" w:eastAsia="楷体" w:hAnsi="楷体" w:cs="楷体" w:hint="eastAsia"/>
          <w:szCs w:val="24"/>
          <w:lang w:val="en-US" w:eastAsia="zh-CN"/>
        </w:rPr>
      </w:pPr>
      <w:r>
        <w:rPr>
          <w:rFonts w:ascii="楷体" w:eastAsia="楷体" w:hAnsi="楷体" w:cs="楷体" w:hint="eastAsia"/>
          <w:szCs w:val="24"/>
          <w:lang w:val="en-US" w:eastAsia="zh-CN"/>
        </w:rPr>
        <w:t>3. 非选择题的作答：用黑色签字笔直接答在答题卡上对应的答题区域内。写在试卷、草稿纸和答题卡上的非答题区域均无效。</w:t>
      </w:r>
    </w:p>
    <w:p>
      <w:pPr>
        <w:ind w:firstLine="420" w:firstLineChars="200"/>
        <w:rPr>
          <w:rFonts w:ascii="楷体" w:eastAsia="楷体" w:hAnsi="楷体" w:cs="楷体" w:hint="eastAsia"/>
          <w:szCs w:val="24"/>
          <w:lang w:val="en-US" w:eastAsia="zh-CN"/>
        </w:rPr>
      </w:pPr>
      <w:r>
        <w:rPr>
          <w:rFonts w:ascii="楷体" w:eastAsia="楷体" w:hAnsi="楷体" w:cs="楷体" w:hint="eastAsia"/>
          <w:szCs w:val="24"/>
          <w:lang w:val="en-US" w:eastAsia="zh-CN"/>
        </w:rPr>
        <w:t>4. 考试结束后，将本试卷和答题卡一并上交。</w:t>
      </w:r>
    </w:p>
    <w:p>
      <w:pPr>
        <w:ind w:firstLine="420" w:firstLineChars="200"/>
        <w:rPr>
          <w:rFonts w:ascii="楷体" w:eastAsia="楷体" w:hAnsi="楷体" w:cs="楷体" w:hint="eastAsia"/>
          <w:sz w:val="21"/>
          <w:szCs w:val="21"/>
          <w:lang w:val="en-US" w:eastAsia="zh-CN"/>
        </w:rPr>
      </w:pPr>
    </w:p>
    <w:p>
      <w:pPr>
        <w:rPr>
          <w:rFonts w:ascii="黑体" w:eastAsia="黑体" w:hAnsi="黑体" w:cs="黑体" w:hint="eastAsia"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sz w:val="21"/>
          <w:szCs w:val="21"/>
          <w:lang w:val="en-US" w:eastAsia="zh-CN"/>
        </w:rPr>
        <w:t>一、单项选择题(共15题，每题3分，满分45 分)</w:t>
      </w:r>
    </w:p>
    <w:p>
      <w:pPr>
        <w:ind w:firstLine="420" w:firstLineChars="200"/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下表为四个不同时期的华北雨季年均降水量(单位:mm)情况，据此完成题目。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2212"/>
        <w:gridCol w:w="1960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12" w:type="dxa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  <w:t>时期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  <w:t>年均降水量/mm</w:t>
            </w: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12" w:type="dxa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  <w:t>P1(1961—1976)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  <w:t>164.7</w:t>
            </w: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12" w:type="dxa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  <w:t>P2(1977—1986)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  <w:t>119.6</w:t>
            </w: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12" w:type="dxa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  <w:t>P3(1987—1998)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  <w:t>172.0</w:t>
            </w: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12" w:type="dxa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  <w:t>P4(1999—2018)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vertAlign w:val="baseline"/>
                <w:lang w:val="en-US" w:eastAsia="zh-CN"/>
              </w:rPr>
              <w:t>120.2</w:t>
            </w:r>
          </w:p>
        </w:tc>
      </w:tr>
    </w:tbl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1.1961-2018年，华北雨季年均降水量呈现（    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A.先减后增趋势     B.波动减少趋势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C.阶段性波动     D.先增后减趋势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2.华北雨季水汽输送的主要载体是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    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A.台风             B.西风             C.东南季风       D.西北季风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3.与其他时期相比，在P3时期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影响我国的（    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A.副热带高压位置偏北           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B.副热带高压偏弱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C.夏季风来得晚                        D.冬季风来得早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bookmarkStart w:id="0" w:name="_GoBack"/>
      <w:bookmarkEnd w:id="0"/>
    </w:p>
    <w:p>
      <w:pPr>
        <w:ind w:firstLine="420" w:firstLineChars="200"/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徽州一府六县,今分属安徽省和江西省。徽州“八分半山一分水,半分农田和庄园”。其境内群峰参天，山丘屏列，岭谷交错，景色优美，自古以来都是文人墨客神往之地。徽商是中国古代的著名商帮之一，经营产品多样，享誉全国。</w:t>
      </w:r>
    </w:p>
    <w:p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drawing>
          <wp:inline distT="0" distB="0" distL="114300" distR="114300">
            <wp:extent cx="2609850" cy="15240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4.关于当地低山丘陵上的土壤，描述正确的是（    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A.化学风化作用强，土质黏重             B.土质疏松，肥力较低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D.淋溶作用弱，土壤呈酸性               C.有机质含量高，土壤肥沃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5.地方传统菜看往往会打上地理环境的烙印，皖南传统菜的选料较多采用（    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①扇贝    ②鱖鱼    ③竹笋    ④牛肉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A.①②             B.③④              C.②③              D.①④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6.古徽州人从商意愿高的主要原因中说法正确的是（    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A.粮食产量高,物产丰富                  B.季风气候，旱涝频繁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C.靠近经济发达的珠二角地区             D.多低山丘陵，地形起伏大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ind w:firstLine="420" w:firstLineChars="200"/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黄河三角洲地势低洼处,易出现较严重的迁地盐碱化。当地通过挖排碱沟、堆土成台来控制盐碱进行耕作,挖出的沟渠也可养殖水生生物,形成“上农下渔”的台田模式(如图)。</w:t>
      </w:r>
    </w:p>
    <w:p>
      <w:pPr>
        <w:jc w:val="center"/>
        <w:rPr>
          <w:rFonts w:ascii="宋体" w:eastAsia="宋体" w:hAnsi="宋体" w:cs="宋体"/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4210685</wp:posOffset>
                </wp:positionH>
                <wp:positionV relativeFrom="paragraph">
                  <wp:posOffset>274955</wp:posOffset>
                </wp:positionV>
                <wp:extent cx="1158875" cy="25654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158875" cy="256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暗管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91.25pt;height:20.2pt;margin-top:21.65pt;margin-left:331.55pt;mso-height-relative:page;mso-width-relative:page;position:absolute;z-index:251666432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暗管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3851275</wp:posOffset>
                </wp:positionH>
                <wp:positionV relativeFrom="paragraph">
                  <wp:posOffset>398145</wp:posOffset>
                </wp:positionV>
                <wp:extent cx="423545" cy="111125"/>
                <wp:effectExtent l="0" t="6350" r="14605" b="3492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0" y="0"/>
                          <a:ext cx="423545" cy="111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6" o:spid="_x0000_s1026" type="#_x0000_t32" style="width:33.35pt;height:8.75pt;margin-top:31.35pt;margin-left:303.25pt;flip:x;mso-height-relative:page;mso-width-relative:page;position:absolute;z-index:251664384" coordsize="21600,21600" filled="f" stroked="t" strokecolor="black">
                <v:stroke joinstyle="miter" endarrow="open"/>
                <o:lock v:ext="edit" aspectratio="f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4227195</wp:posOffset>
                </wp:positionH>
                <wp:positionV relativeFrom="paragraph">
                  <wp:posOffset>33655</wp:posOffset>
                </wp:positionV>
                <wp:extent cx="1158875" cy="25654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5114290" y="5022215"/>
                          <a:ext cx="1158875" cy="256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秸秆隔断层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7" type="#_x0000_t202" style="width:91.25pt;height:20.2pt;margin-top:2.65pt;margin-left:332.85pt;mso-height-relative:page;mso-width-relative:page;position:absolute;z-index:251662336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秸秆隔断层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3888105</wp:posOffset>
                </wp:positionH>
                <wp:positionV relativeFrom="paragraph">
                  <wp:posOffset>195580</wp:posOffset>
                </wp:positionV>
                <wp:extent cx="423545" cy="111125"/>
                <wp:effectExtent l="0" t="6350" r="14605" b="3492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4573905" y="5072380"/>
                          <a:ext cx="423545" cy="111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8" type="#_x0000_t32" style="width:33.35pt;height:8.75pt;margin-top:15.4pt;margin-left:306.15pt;flip:x;mso-height-relative:page;mso-width-relative:page;position:absolute;z-index:251660288" coordsize="21600,21600" filled="f" stroked="t" strokecolor="black">
                <v:stroke joinstyle="miter" endarrow="open"/>
                <o:lock v:ext="edit" aspectratio="f"/>
              </v:shape>
            </w:pict>
          </mc:Fallback>
        </mc:AlternateContent>
      </w:r>
      <w:r>
        <w:rPr>
          <w:rFonts w:ascii="宋体" w:eastAsia="宋体" w:hAnsi="宋体" w:cs="宋体"/>
          <w:sz w:val="21"/>
          <w:szCs w:val="21"/>
        </w:rPr>
        <w:drawing>
          <wp:inline distT="0" distB="0" distL="114300" distR="114300">
            <wp:extent cx="3293110" cy="96393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16287" b="16364"/>
                    <a:stretch>
                      <a:fillRect/>
                    </a:stretch>
                  </pic:blipFill>
                  <pic:spPr>
                    <a:xfrm>
                      <a:off x="0" y="0"/>
                      <a:ext cx="3293110" cy="963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7.采用台田模式能控制盐碱，主要在于（    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A.加快盐碱淋洗      B.防止水分蒸发       C.减缓降水下渗        D.控制盐碱上泛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8.推测对该地农业生产影响较大的主要自然灾害是（    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A.台风              B.旱涝               C.泥石流              D.风暴潮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9.限制该三角洲“上农下渔”模式在当地大面积推广的主要自然因素是（    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A.热量              B.水源               C.地形                D.土壤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ind w:firstLine="420" w:firstLineChars="200"/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凌汛是冰凌堵塞河道，对水流产生阻力而引起江河水位明显上涨的水文现象。近年来，得益于刘家峡水库强大的调蓄能力,黄河上游宁夏段凌汛得到较大缓解，下图为“黄河上游刘家峡水库位置图及多年平均各月蓄水变化量图”，读图完成下面小题。</w:t>
      </w:r>
    </w:p>
    <w:p>
      <w:pPr>
        <w:ind w:firstLine="420" w:firstLineChars="200"/>
        <w:rPr>
          <w:rFonts w:ascii="楷体" w:eastAsia="楷体" w:hAnsi="楷体" w:cs="楷体" w:hint="eastAsia"/>
          <w:sz w:val="21"/>
          <w:szCs w:val="21"/>
          <w:lang w:val="en-US" w:eastAsia="zh-CN"/>
        </w:rPr>
      </w:pPr>
    </w:p>
    <w:p>
      <w:pPr>
        <w:ind w:firstLine="420" w:firstLineChars="200"/>
        <w:rPr>
          <w:rFonts w:ascii="楷体" w:eastAsia="楷体" w:hAnsi="楷体" w:cs="楷体" w:hint="eastAsia"/>
          <w:sz w:val="21"/>
          <w:szCs w:val="21"/>
          <w:lang w:val="en-US" w:eastAsia="zh-CN"/>
        </w:rPr>
      </w:pPr>
    </w:p>
    <w:p>
      <w:pPr>
        <w:ind w:firstLine="420" w:firstLineChars="200"/>
        <w:rPr>
          <w:rFonts w:ascii="楷体" w:eastAsia="楷体" w:hAnsi="楷体" w:cs="楷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drawing>
          <wp:inline distT="0" distB="0" distL="114300" distR="114300">
            <wp:extent cx="1283970" cy="1542415"/>
            <wp:effectExtent l="0" t="0" r="11430" b="635"/>
            <wp:docPr id="8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</w:t>
      </w:r>
      <w:r>
        <w:rPr>
          <w:rFonts w:ascii="宋体" w:eastAsia="宋体" w:hAnsi="宋体" w:cs="宋体"/>
          <w:sz w:val="21"/>
          <w:szCs w:val="21"/>
        </w:rPr>
        <w:drawing>
          <wp:inline distT="0" distB="0" distL="114300" distR="114300">
            <wp:extent cx="1541145" cy="1536065"/>
            <wp:effectExtent l="0" t="0" r="1905" b="6985"/>
            <wp:docPr id="7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1145" cy="1536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10.据图判断，刘家峡水库为防凌开闸放水和蓄水总量最少的月份分别是（     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A．11月、5月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B．11月、6月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C．1月、5月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D．1月、6月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11.刘家峡水库对其下游地区防凌的作用主要表现在（     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A．下泄水温降低，推迟封冻时间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B．下泄水温降低，延长封冻长度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C．下泄水温升高，缩短封冻长度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D．下泄水温升高，提前封冻时间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12.为发挥刘家峡水库的防凌作用，合理的调蓄方案是（     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A．开河期减小泄水量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    B．冬半年加大泄水量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C．封河前减小泄水量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    D．封河期加大泄水量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ind w:firstLine="420" w:firstLineChars="200"/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葡萄喜光，耐早。巴罗萨是澳大利亚最大的葡萄酒产区，包括巴罗萨谷和伊顿谷两个葡萄酒小产区（图1)。巴罗萨谷海拔 250</w:t>
      </w:r>
      <w:r>
        <w:rPr>
          <w:rFonts w:ascii="Times New Roman" w:eastAsia="楷体" w:hAnsi="Times New Roman" w:cs="Times New Roman" w:hint="default"/>
          <w:sz w:val="21"/>
          <w:szCs w:val="21"/>
          <w:lang w:val="en-US" w:eastAsia="zh-CN"/>
        </w:rPr>
        <w:t>~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370m，伊顿谷海拔380</w:t>
      </w:r>
      <w:r>
        <w:rPr>
          <w:rFonts w:ascii="Times New Roman" w:eastAsia="楷体" w:hAnsi="Times New Roman" w:cs="Times New Roman" w:hint="default"/>
          <w:sz w:val="21"/>
          <w:szCs w:val="21"/>
          <w:lang w:val="en-US" w:eastAsia="zh-CN"/>
        </w:rPr>
        <w:t>~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630m。图2示意巴罗萨谷降水量月份分配，完成下面小题。</w:t>
      </w:r>
    </w:p>
    <w:p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drawing>
          <wp:inline distT="0" distB="0" distL="114300" distR="114300">
            <wp:extent cx="2452370" cy="1797050"/>
            <wp:effectExtent l="0" t="0" r="5080" b="12700"/>
            <wp:docPr id="9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52370" cy="1797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/>
          <w:sz w:val="21"/>
          <w:szCs w:val="21"/>
        </w:rPr>
        <w:drawing>
          <wp:inline distT="0" distB="0" distL="114300" distR="114300">
            <wp:extent cx="2153920" cy="1383030"/>
            <wp:effectExtent l="0" t="0" r="17780" b="7620"/>
            <wp:docPr id="10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53920" cy="1383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13.形成该地区年降水量特点的原因是（     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A.地形抬升作用显著                      B.海陆热力性质差异大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C.夏季对流运动活跃                      D.夏季受副热带高压控制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14.与巴罗萨谷相比，伊顿谷种植葡萄的优势自然条件是（     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A.降水量大          B.利于排水          C.热量充足          D.生长周期长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15.巴罗萨谷气温最低的季节，下列说法最可信的是（     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A.长江口盐度年内较高                    B.东非高原动物向南方迁徙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C.武汉太阳东北升西北落                  D.伏尔加河正值汛期</w:t>
      </w:r>
    </w:p>
    <w:p>
      <w:pPr>
        <w:rPr>
          <w:rFonts w:ascii="黑体" w:eastAsia="黑体" w:hAnsi="黑体" w:cs="黑体" w:hint="eastAsia"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sz w:val="21"/>
          <w:szCs w:val="21"/>
          <w:lang w:val="en-US" w:eastAsia="zh-CN"/>
        </w:rPr>
        <w:t>二、综合题(共3大题，满分55 分)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16.阅读材料，回答下列问题。(18分)</w:t>
      </w:r>
    </w:p>
    <w:p>
      <w:pPr>
        <w:ind w:firstLine="420" w:firstLineChars="200"/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sz w:val="21"/>
          <w:szCs w:val="21"/>
          <w:lang w:val="en-US" w:eastAsia="zh-CN"/>
        </w:rPr>
        <w:t>材料一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 受西南暖湿气流和较强冷空气共同影响，2024年1月30日到2月7日，湖北省遭遇连续冻雨和间断性的大雨、暴雪、雨夹雪等天气。冻雨是大气中过冷却水滴降落过程中，与地面温度低于0℃物体接触后发生冻结的一种天气现象。</w:t>
      </w:r>
    </w:p>
    <w:p>
      <w:pPr>
        <w:ind w:firstLine="420" w:firstLineChars="200"/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sz w:val="21"/>
          <w:szCs w:val="21"/>
          <w:lang w:val="en-US" w:eastAsia="zh-CN"/>
        </w:rPr>
        <w:t>材料二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 此次冻雨在武汉及周边地区持续超过3天，降雨量超过40mm，导致湖北省多条高速公路和高铁线路停运，许多旅客滞留受困，造成了巨大影响。低温冰冻雨雪天气造成武汉城市道路树木受损严重，据专家介绍，香樟、女贞等常绿乔本受损严重，针叶类、松柏类树种和落叶树种受损情况则较轻。下左图为“冻雨天气大气垂直结构分层示意”，下右两图为樟树树干断裂和结水景观。</w:t>
      </w:r>
    </w:p>
    <w:p>
      <w:pPr>
        <w:rPr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drawing>
          <wp:inline distT="0" distB="0" distL="114300" distR="114300">
            <wp:extent cx="1938020" cy="1602740"/>
            <wp:effectExtent l="0" t="0" r="5080" b="16510"/>
            <wp:docPr id="11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38020" cy="160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sz w:val="21"/>
          <w:szCs w:val="21"/>
        </w:rPr>
        <w:drawing>
          <wp:inline distT="0" distB="0" distL="114300" distR="114300">
            <wp:extent cx="1212215" cy="1500505"/>
            <wp:effectExtent l="0" t="0" r="6985" b="4445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2215" cy="150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sz w:val="21"/>
          <w:szCs w:val="21"/>
        </w:rPr>
        <w:drawing>
          <wp:inline distT="0" distB="0" distL="114300" distR="114300">
            <wp:extent cx="1767205" cy="1235075"/>
            <wp:effectExtent l="0" t="0" r="4445" b="3175"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67205" cy="123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(1)说明湖北这次冻雨的形成条件。(6分)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(2)分析此次冰冻雨雪天气导致武汉市樟树树枝折断较多的主要原因。(6分)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(3)简述此次冻雨灾害对交通影响巨大的原因。(6分)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17.阅读材料，回答下列问题。(19分)</w:t>
      </w:r>
    </w:p>
    <w:p>
      <w:pPr>
        <w:ind w:firstLine="420" w:firstLineChars="200"/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sz w:val="21"/>
          <w:szCs w:val="21"/>
          <w:lang w:val="en-US" w:eastAsia="zh-CN"/>
        </w:rPr>
        <w:t>材料一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2022年2月，我国“东数西算”工程正式启动。“数”指数据，“算”是算力，即对数据的处理能力。“东数西算”工程通过构建新型算力网络体系，布局长三角、内蒙古、成渝等8个算力枢纽节点，固绕节点规划10个数据中心集群，把东部地区经济活动产生的数据传输到西部地区进行计算和处理。</w:t>
      </w:r>
    </w:p>
    <w:p>
      <w:pPr>
        <w:ind w:firstLine="420" w:firstLineChars="200"/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sz w:val="21"/>
          <w:szCs w:val="21"/>
          <w:lang w:val="en-US" w:eastAsia="zh-CN"/>
        </w:rPr>
        <w:t>材料二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数据中心占地规模大，能耗高，设备运行发热量巨大，常用水冷等方式散热。内蒙古乌兰察布积极参与建设东数西算工程，这里集聚了20多座数据中心，与贵州数据中心形成了“南贵北乌”分布格局。下左图为乌兰察布位置，右图为乌兰察布气候图。</w:t>
      </w:r>
    </w:p>
    <w:p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drawing>
          <wp:inline distT="0" distB="0" distL="114300" distR="114300">
            <wp:extent cx="3625850" cy="1621790"/>
            <wp:effectExtent l="0" t="0" r="12700" b="16510"/>
            <wp:docPr id="15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2585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sz w:val="21"/>
          <w:szCs w:val="21"/>
        </w:rPr>
        <w:drawing>
          <wp:inline distT="0" distB="0" distL="114300" distR="114300">
            <wp:extent cx="1586865" cy="1686560"/>
            <wp:effectExtent l="0" t="0" r="13335" b="8890"/>
            <wp:docPr id="14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rcRect b="4557"/>
                    <a:stretch>
                      <a:fillRect/>
                    </a:stretch>
                  </pic:blipFill>
                  <pic:spPr>
                    <a:xfrm>
                      <a:off x="0" y="0"/>
                      <a:ext cx="1586865" cy="1686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(1)从市场、资源角度，分析乌兰察布算力枢纽建设的有利条件。(9分)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(2)简述数据中心运转过程中对当地自然环境造成的不利影响。(6分)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ind w:firstLine="420" w:firstLineChars="200"/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碳中和是一种新型环保形式。“碳”即二氧化碳，“中和”即正负相抵。排出的二氧化碳或温室气体被植树造林、节能减排等形式抵消，达到相对“零排放”,这就是“碳中和”。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(3)说明我国实施“东数西算”战略对促进“碳中和”的作用。(4分)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18.阅读材料，回答下列问题。(18分)</w:t>
      </w:r>
    </w:p>
    <w:p>
      <w:pPr>
        <w:ind w:firstLine="420" w:firstLineChars="200"/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sz w:val="21"/>
          <w:szCs w:val="21"/>
          <w:lang w:val="en-US" w:eastAsia="zh-CN"/>
        </w:rPr>
        <w:t>材料一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“引红济石”工程位于陕西省太白县,自秦岭南麓泱江水系褒河支流红岩河上游取水,通过穿越秦岭的长隧洞自流调入秦岭北麓滑河支流石头河(因河床中裸露的河漫滩上石头大如斗而得名),经石头河水库调节后向西安、咸阳、宝鸡、杨凌等城市供水,并向滑河干流补充一定的生态水量。</w:t>
      </w:r>
    </w:p>
    <w:p>
      <w:pPr>
        <w:ind w:firstLine="420" w:firstLineChars="200"/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sz w:val="21"/>
          <w:szCs w:val="21"/>
          <w:lang w:val="en-US" w:eastAsia="zh-CN"/>
        </w:rPr>
        <w:t>材料二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左图为“引红济石”调水工程示意图,右图为石头河上游河滩景观图。</w:t>
      </w:r>
    </w:p>
    <w:p>
      <w:pPr>
        <w:rPr>
          <w:rFonts w:ascii="Times New Roman" w:eastAsia="宋体" w:hAnsi="Times New Roman" w:cs="Times New Roman" w:hint="default"/>
          <w:i w:val="0"/>
          <w:iCs w:val="0"/>
          <w:caps w:val="0"/>
          <w:spacing w:val="0"/>
          <w:sz w:val="21"/>
          <w:szCs w:val="21"/>
          <w:bdr w:val="none" w:sz="0" w:space="0" w:color="auto"/>
          <w:shd w:val="clear" w:color="auto" w:fill="FFFFFF"/>
        </w:rPr>
      </w:pPr>
      <w:r>
        <w:rPr>
          <w:rFonts w:ascii="Times New Roman" w:eastAsia="宋体" w:hAnsi="Times New Roman" w:cs="Times New Roman" w:hint="default"/>
          <w:i w:val="0"/>
          <w:iCs w:val="0"/>
          <w:caps w:val="0"/>
          <w:spacing w:val="0"/>
          <w:sz w:val="21"/>
          <w:szCs w:val="21"/>
          <w:bdr w:val="none" w:sz="0" w:space="0" w:color="auto"/>
          <w:shd w:val="clear" w:color="auto" w:fill="FFFFFF"/>
        </w:rPr>
        <w:drawing>
          <wp:inline distT="0" distB="0" distL="114300" distR="114300">
            <wp:extent cx="3242310" cy="1336675"/>
            <wp:effectExtent l="0" t="0" r="15240" b="15875"/>
            <wp:docPr id="16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42310" cy="1336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i w:val="0"/>
          <w:iCs w:val="0"/>
          <w:caps w:val="0"/>
          <w:spacing w:val="0"/>
          <w:sz w:val="21"/>
          <w:szCs w:val="21"/>
          <w:bdr w:val="none" w:sz="0" w:space="0" w:color="auto"/>
          <w:shd w:val="clear" w:color="auto" w:fill="FFFFFF"/>
        </w:rPr>
        <w:t>   </w:t>
      </w:r>
      <w:r>
        <w:rPr>
          <w:rFonts w:ascii="Times New Roman" w:eastAsia="宋体" w:hAnsi="Times New Roman" w:cs="Times New Roman" w:hint="eastAsia"/>
          <w:i w:val="0"/>
          <w:iCs w:val="0"/>
          <w:caps w:val="0"/>
          <w:spacing w:val="0"/>
          <w:sz w:val="21"/>
          <w:szCs w:val="21"/>
          <w:bdr w:val="none" w:sz="0" w:space="0" w:color="auto"/>
          <w:shd w:val="clear" w:color="auto" w:fill="FFFFFF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i w:val="0"/>
          <w:iCs w:val="0"/>
          <w:caps w:val="0"/>
          <w:spacing w:val="0"/>
          <w:sz w:val="21"/>
          <w:szCs w:val="21"/>
          <w:bdr w:val="none" w:sz="0" w:space="0" w:color="auto"/>
          <w:shd w:val="clear" w:color="auto" w:fill="FFFFFF"/>
        </w:rPr>
        <w:drawing>
          <wp:inline distT="0" distB="0" distL="114300" distR="114300">
            <wp:extent cx="1619885" cy="1214755"/>
            <wp:effectExtent l="0" t="0" r="18415" b="4445"/>
            <wp:docPr id="17" name="图片 1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214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i w:val="0"/>
          <w:iCs w:val="0"/>
          <w:caps w:val="0"/>
          <w:spacing w:val="0"/>
          <w:sz w:val="21"/>
          <w:szCs w:val="21"/>
          <w:bdr w:val="none" w:sz="0" w:space="0" w:color="auto"/>
          <w:shd w:val="clear" w:color="auto" w:fill="FFFFFF"/>
        </w:rPr>
        <w:t> </w:t>
      </w:r>
    </w:p>
    <w:p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(1)对比分析石头河与红岩河水文特征的异同(6分)</w:t>
      </w:r>
    </w:p>
    <w:p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(2)说明石头河“一河石头大如斗”景观的形成过程。(6分)</w:t>
      </w:r>
    </w:p>
    <w:p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(3)分析“引红济石”工程建设对水资源调入区产生的意义。(6分)  </w:t>
      </w:r>
    </w:p>
    <w:sectPr>
      <w:headerReference w:type="default" r:id="rId19"/>
      <w:footerReference w:type="default" r:id="rId20"/>
      <w:pgSz w:w="10431" w:h="14740"/>
      <w:pgMar w:top="1440" w:right="1080" w:bottom="1440" w:left="108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1"/>
    <w:family w:val="roman"/>
    <w:pitch w:val="variable"/>
    <w:sig w:usb0="E0002EFF" w:usb1="C000785B" w:usb2="00000009" w:usb3="00000000" w:csb0="4008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高二地理试卷  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rPr>
                        <w:rFonts w:hint="eastAsia"/>
                        <w:lang w:val="en-US" w:eastAsia="zh-CN"/>
                      </w:rPr>
                      <w:t xml:space="preserve">高二地理试卷  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97C01EF"/>
    <w:rsid w:val="41E77BF5"/>
    <w:rsid w:val="4A6313CC"/>
    <w:rsid w:val="70673595"/>
    <w:rsid w:val="70860455"/>
    <w:rsid w:val="744523D5"/>
  </w:rsids>
  <w:docVars>
    <w:docVar w:name="commondata" w:val="eyJoZGlkIjoiMGRiMjE4ODBlN2I1ZjdjYjhlMjFlMDRmOGFlZDMyYm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2024-05-02T10:45:04Z</dcterms:created>
  <dcterms:modified xsi:type="dcterms:W3CDTF">2024-05-02T11:26:09Z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