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11010900</wp:posOffset>
            </wp:positionH>
            <wp:positionV relativeFrom="topMargin">
              <wp:posOffset>11963400</wp:posOffset>
            </wp:positionV>
            <wp:extent cx="355600" cy="431800"/>
            <wp:wrapNone/>
            <wp:docPr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5"/>
                    <a:stretch>
                      <a:fillRect/>
                    </a:stretch>
                  </pic:blipFill>
                  <pic:spPr>
                    <a:xfrm>
                      <a:off x="0" y="0"/>
                      <a:ext cx="355600" cy="431800"/>
                    </a:xfrm>
                    <a:prstGeom prst="rect">
                      <a:avLst/>
                    </a:prstGeom>
                  </pic:spPr>
                </pic:pic>
              </a:graphicData>
            </a:graphic>
          </wp:anchor>
        </w:drawing>
      </w:r>
      <w:r>
        <w:rPr>
          <w:rFonts w:ascii="宋体" w:eastAsia="宋体" w:hAnsi="宋体" w:cs="宋体"/>
          <w:b/>
          <w:color w:val="auto"/>
          <w:sz w:val="32"/>
        </w:rPr>
        <w:t>地理试卷</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宋体" w:eastAsia="宋体" w:hAnsi="宋体" w:cs="宋体"/>
          <w:b/>
          <w:color w:val="auto"/>
          <w:sz w:val="24"/>
        </w:rPr>
        <w:t>1.答卷前，考生务必将自己的姓名、准考证号填写在答题卡上。</w:t>
      </w:r>
    </w:p>
    <w:p w:rsidR="00FC5860" w:rsidRPr="00BE1BCD">
      <w:pPr>
        <w:spacing w:line="360" w:lineRule="auto"/>
        <w:jc w:val="left"/>
      </w:pPr>
      <w:r>
        <w:rPr>
          <w:rFonts w:ascii="宋体" w:eastAsia="宋体" w:hAnsi="宋体" w:cs="宋体"/>
          <w:b/>
          <w:color w:val="auto"/>
          <w:sz w:val="24"/>
        </w:rPr>
        <w:t>2.回答选择题时，选出每小题答案后，用铅笔把答题卡上对应题目的答案标号涂黑。如需改动，用橡皮擦干净后，再选涂其他答案标号。回答非选择题时，将答案写在答题卡上，写在本试卷上无效。</w:t>
      </w:r>
    </w:p>
    <w:p w:rsidR="00FC5860" w:rsidRPr="00BE1BCD">
      <w:pPr>
        <w:spacing w:line="360" w:lineRule="auto"/>
        <w:jc w:val="left"/>
      </w:pPr>
      <w:r>
        <w:rPr>
          <w:rFonts w:ascii="宋体" w:eastAsia="宋体" w:hAnsi="宋体" w:cs="宋体"/>
          <w:b/>
          <w:color w:val="auto"/>
          <w:sz w:val="24"/>
        </w:rPr>
        <w:t>3.考试结束后，将本试卷和答题卡一并交回。</w:t>
      </w:r>
    </w:p>
    <w:p w:rsidR="00FC5860" w:rsidRPr="00BE1BCD">
      <w:pPr>
        <w:spacing w:line="360" w:lineRule="auto"/>
        <w:jc w:val="left"/>
      </w:pPr>
      <w:r>
        <w:rPr>
          <w:rFonts w:ascii="宋体" w:eastAsia="宋体" w:hAnsi="宋体" w:cs="宋体"/>
          <w:b/>
          <w:color w:val="auto"/>
          <w:sz w:val="24"/>
        </w:rPr>
        <w:t>一、选择题：本题共16小题，每小题3分，共48分。在每小题给出的四个选项中，只有一项是符合题目要求的。</w:t>
      </w:r>
    </w:p>
    <w:p w:rsidR="00FC5860" w:rsidRPr="00BE1BCD">
      <w:pPr>
        <w:spacing w:line="360" w:lineRule="auto"/>
        <w:ind w:firstLine="420"/>
        <w:jc w:val="left"/>
      </w:pPr>
      <w:r>
        <w:rPr>
          <w:rFonts w:ascii="楷体" w:eastAsia="楷体" w:hAnsi="楷体" w:cs="楷体"/>
          <w:color w:val="auto"/>
        </w:rPr>
        <w:t>面对养殖环保的规制政策、非洲猪瘟疫情与新冠疫情的三重叠加冲击，维护生猪供应链稳定运行、培育生猪供应链韧性是推动生猪产业持续健康发展的重要基础。下图是生猪供应链基本结构示意图。据此完成下面小题。</w:t>
      </w:r>
    </w:p>
    <w:p w:rsidR="00FC5860" w:rsidRPr="00BE1BCD">
      <w:pPr>
        <w:spacing w:line="360" w:lineRule="auto"/>
        <w:jc w:val="left"/>
      </w:pPr>
      <w:r w:rsidRPr="00BE1BCD">
        <w:drawing>
          <wp:inline>
            <wp:extent cx="3848100" cy="130492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3848100" cy="1304925"/>
                    </a:xfrm>
                    <a:prstGeom prst="rect">
                      <a:avLst/>
                    </a:prstGeom>
                  </pic:spPr>
                </pic:pic>
              </a:graphicData>
            </a:graphic>
          </wp:inline>
        </w:drawing>
      </w:r>
    </w:p>
    <w:p w:rsidR="00FC5860" w:rsidRPr="00BE1BCD">
      <w:pPr>
        <w:spacing w:line="360" w:lineRule="auto"/>
        <w:ind w:firstLine="420"/>
        <w:jc w:val="left"/>
      </w:pPr>
      <w:r>
        <w:rPr>
          <w:rFonts w:ascii="楷体" w:eastAsia="楷体" w:hAnsi="楷体" w:cs="楷体"/>
          <w:color w:val="auto"/>
        </w:rPr>
        <w:t>二级供应商→一级供应商→加工制造商→猪肉经销商→消费终端</w:t>
      </w:r>
    </w:p>
    <w:p>
      <w:pPr>
        <w:spacing w:line="360" w:lineRule="auto"/>
        <w:jc w:val="left"/>
        <w:textAlignment w:val="center"/>
        <w:rPr>
          <w:color w:val="auto"/>
        </w:rPr>
      </w:pPr>
      <w:r w:rsidRPr="00BE1BCD" w:rsidR="00FC5860">
        <w:t xml:space="preserve">1. </w:t>
      </w:r>
      <w:r>
        <w:rPr>
          <w:rFonts w:ascii="宋体" w:eastAsia="宋体" w:hAnsi="宋体" w:cs="宋体"/>
          <w:color w:val="auto"/>
        </w:rPr>
        <w:t>受环境规制政策冲击影响最大的是（   ）</w:t>
      </w:r>
    </w:p>
    <w:p>
      <w:pPr>
        <w:tabs>
          <w:tab w:val="left" w:pos="2436"/>
          <w:tab w:val="left" w:pos="4873"/>
          <w:tab w:val="left" w:pos="7309"/>
        </w:tabs>
        <w:spacing w:line="360" w:lineRule="auto"/>
        <w:jc w:val="left"/>
        <w:textAlignment w:val="center"/>
        <w:rPr>
          <w:color w:val="auto"/>
        </w:rPr>
      </w:pPr>
      <w:r w:rsidRPr="00BE1BCD" w:rsidR="00FC5860">
        <w:t xml:space="preserve">A. </w:t>
      </w:r>
      <w:r>
        <w:rPr>
          <w:rFonts w:ascii="宋体" w:eastAsia="宋体" w:hAnsi="宋体" w:cs="宋体"/>
          <w:color w:val="auto"/>
        </w:rPr>
        <w:t>二级供应商</w:t>
      </w:r>
      <w:r w:rsidRPr="00BE1BCD" w:rsidR="00FC5860">
        <w:tab/>
      </w:r>
      <w:r w:rsidRPr="00BE1BCD" w:rsidR="00FC5860">
        <w:t xml:space="preserve">B. </w:t>
      </w:r>
      <w:r>
        <w:rPr>
          <w:rFonts w:ascii="宋体" w:eastAsia="宋体" w:hAnsi="宋体" w:cs="宋体"/>
          <w:color w:val="auto"/>
        </w:rPr>
        <w:t>一级供应商</w:t>
      </w:r>
      <w:r w:rsidRPr="00BE1BCD" w:rsidR="00FC5860">
        <w:tab/>
      </w:r>
      <w:r w:rsidRPr="00BE1BCD" w:rsidR="00FC5860">
        <w:t xml:space="preserve">C. </w:t>
      </w:r>
      <w:r>
        <w:rPr>
          <w:rFonts w:ascii="宋体" w:eastAsia="宋体" w:hAnsi="宋体" w:cs="宋体"/>
          <w:color w:val="auto"/>
        </w:rPr>
        <w:t>加工制造商</w:t>
      </w:r>
      <w:r w:rsidRPr="00BE1BCD" w:rsidR="00FC5860">
        <w:tab/>
      </w:r>
      <w:r w:rsidRPr="00BE1BCD" w:rsidR="00FC5860">
        <w:t xml:space="preserve">D. </w:t>
      </w:r>
      <w:r>
        <w:rPr>
          <w:rFonts w:ascii="宋体" w:eastAsia="宋体" w:hAnsi="宋体" w:cs="宋体"/>
          <w:color w:val="auto"/>
        </w:rPr>
        <w:t>猪肉经销商</w:t>
      </w:r>
    </w:p>
    <w:p>
      <w:pPr>
        <w:spacing w:line="360" w:lineRule="auto"/>
        <w:jc w:val="left"/>
        <w:textAlignment w:val="center"/>
        <w:rPr>
          <w:color w:val="auto"/>
        </w:rPr>
      </w:pPr>
      <w:r w:rsidRPr="00BE1BCD" w:rsidR="00FC5860">
        <w:t xml:space="preserve">2. </w:t>
      </w:r>
      <w:r>
        <w:rPr>
          <w:rFonts w:ascii="宋体" w:eastAsia="宋体" w:hAnsi="宋体" w:cs="宋体"/>
          <w:color w:val="auto"/>
        </w:rPr>
        <w:t>受非洲猪瘟疫情影响，我国（   ）</w:t>
      </w:r>
    </w:p>
    <w:p>
      <w:pPr>
        <w:tabs>
          <w:tab w:val="left" w:pos="2436"/>
          <w:tab w:val="left" w:pos="4873"/>
          <w:tab w:val="left" w:pos="7309"/>
        </w:tabs>
        <w:spacing w:line="360" w:lineRule="auto"/>
        <w:jc w:val="left"/>
        <w:textAlignment w:val="center"/>
        <w:rPr>
          <w:color w:val="000000"/>
        </w:rPr>
      </w:pPr>
      <w:r w:rsidRPr="00BE1BCD" w:rsidR="00FC5860">
        <w:t xml:space="preserve">A. </w:t>
      </w:r>
      <w:r>
        <w:rPr>
          <w:rFonts w:ascii="宋体" w:eastAsia="宋体" w:hAnsi="宋体" w:cs="宋体"/>
          <w:color w:val="auto"/>
        </w:rPr>
        <w:t>猪肉需求上升</w:t>
      </w:r>
      <w:r w:rsidRPr="00BE1BCD" w:rsidR="00FC5860">
        <w:tab/>
      </w:r>
      <w:r w:rsidRPr="00BE1BCD" w:rsidR="00FC5860">
        <w:t xml:space="preserve">B. </w:t>
      </w:r>
      <w:r>
        <w:rPr>
          <w:rFonts w:ascii="宋体" w:eastAsia="宋体" w:hAnsi="宋体" w:cs="宋体"/>
          <w:color w:val="auto"/>
        </w:rPr>
        <w:t>牛羊肉需求下降</w:t>
      </w:r>
      <w:r w:rsidRPr="00BE1BCD" w:rsidR="00FC5860">
        <w:tab/>
      </w:r>
      <w:r w:rsidRPr="00BE1BCD" w:rsidR="00FC5860">
        <w:t xml:space="preserve">C. </w:t>
      </w:r>
      <w:r>
        <w:rPr>
          <w:rFonts w:ascii="宋体" w:eastAsia="宋体" w:hAnsi="宋体" w:cs="宋体"/>
          <w:color w:val="auto"/>
        </w:rPr>
        <w:t>生猪养殖成本增加</w:t>
      </w:r>
      <w:r w:rsidRPr="00BE1BCD" w:rsidR="00FC5860">
        <w:tab/>
      </w:r>
      <w:r w:rsidRPr="00BE1BCD" w:rsidR="00FC5860">
        <w:t xml:space="preserve">D. </w:t>
      </w:r>
      <w:r>
        <w:rPr>
          <w:rFonts w:ascii="宋体" w:eastAsia="宋体" w:hAnsi="宋体" w:cs="宋体"/>
          <w:color w:val="auto"/>
        </w:rPr>
        <w:t>活猪调运量增加</w:t>
      </w:r>
    </w:p>
    <w:p>
      <w:pPr>
        <w:spacing w:line="360" w:lineRule="auto"/>
        <w:ind w:firstLine="420"/>
        <w:jc w:val="left"/>
        <w:textAlignment w:val="center"/>
        <w:rPr>
          <w:color w:val="000000"/>
        </w:rPr>
      </w:pPr>
      <w:r>
        <w:rPr>
          <w:rFonts w:ascii="楷体" w:eastAsia="楷体" w:hAnsi="楷体" w:cs="楷体"/>
          <w:color w:val="000000"/>
        </w:rPr>
        <w:t>老年人口的余寿是指60岁老年人的平均预期寿命；老年人口的工作余寿是指60岁老年人的工作预期寿命。根据老年人口的余寿与工作余寿长短差异，可以把农村老年人口的工作余寿拓展模式分为“安逸型”“劳逸结合型”“高负担型”“低负担型”“限制型”等5种类型，所属类型与老年人的生活水平、劳动意愿、劳动能力和劳动条件紧密相关。下表是31个省区农村老年人口工作余寿拓展模式。据此完成下面小题。</w:t>
      </w:r>
    </w:p>
    <w:tbl>
      <w:tblPr>
        <w:tblStyle w:val="TableNormal"/>
        <w:tblW w:w="6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776"/>
        <w:gridCol w:w="4477"/>
        <w:gridCol w:w="4477"/>
      </w:tblGrid>
      <w:tr>
        <w:tblPrEx>
          <w:tblW w:w="6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675"/>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类型</w:t>
            </w:r>
          </w:p>
        </w:tc>
        <w:tc>
          <w:tcPr>
            <w:tcW w:w="23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男性</w:t>
            </w:r>
          </w:p>
        </w:tc>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女性</w:t>
            </w:r>
          </w:p>
        </w:tc>
      </w:tr>
      <w:tr>
        <w:tblPrEx>
          <w:tblW w:w="6015" w:type="dxa"/>
          <w:tblCellMar>
            <w:top w:w="120" w:type="dxa"/>
            <w:left w:w="120" w:type="dxa"/>
            <w:bottom w:w="120" w:type="dxa"/>
            <w:right w:w="120" w:type="dxa"/>
          </w:tblCellMar>
        </w:tblPrEx>
        <w:trPr>
          <w:cantSplit w:val="0"/>
          <w:trHeight w:val="675"/>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安逸型</w:t>
            </w:r>
          </w:p>
        </w:tc>
        <w:tc>
          <w:tcPr>
            <w:tcW w:w="23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上海、北京</w:t>
            </w:r>
          </w:p>
        </w:tc>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上海、北京、天津、广东</w:t>
            </w:r>
          </w:p>
        </w:tc>
      </w:tr>
      <w:tr>
        <w:tblPrEx>
          <w:tblW w:w="6015" w:type="dxa"/>
          <w:tblCellMar>
            <w:top w:w="120" w:type="dxa"/>
            <w:left w:w="120" w:type="dxa"/>
            <w:bottom w:w="120" w:type="dxa"/>
            <w:right w:w="120" w:type="dxa"/>
          </w:tblCellMar>
        </w:tblPrEx>
        <w:trPr>
          <w:cantSplit w:val="0"/>
          <w:trHeight w:val="675"/>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劳逸结合型</w:t>
            </w:r>
          </w:p>
        </w:tc>
        <w:tc>
          <w:tcPr>
            <w:tcW w:w="23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广东、天津、黑龙江、陕西、山西、浙江、江苏</w:t>
            </w:r>
          </w:p>
        </w:tc>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山西、海南、黑龙江、浙江、陕西、河北、江苏</w:t>
            </w:r>
          </w:p>
        </w:tc>
      </w:tr>
      <w:tr>
        <w:tblPrEx>
          <w:tblW w:w="6015" w:type="dxa"/>
          <w:tblCellMar>
            <w:top w:w="120" w:type="dxa"/>
            <w:left w:w="120" w:type="dxa"/>
            <w:bottom w:w="120" w:type="dxa"/>
            <w:right w:w="120" w:type="dxa"/>
          </w:tblCellMar>
        </w:tblPrEx>
        <w:trPr>
          <w:cantSplit w:val="0"/>
          <w:trHeight w:val="675"/>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高负担型</w:t>
            </w:r>
          </w:p>
        </w:tc>
        <w:tc>
          <w:tcPr>
            <w:tcW w:w="23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云南、辽宁、河北、吉林、重庆、福建、江西、河南、安徽、湖北、山东、四川</w:t>
            </w:r>
          </w:p>
        </w:tc>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吉林、辽宁、江西、福建、广西、安徽、河南、山东、云南、湖北、重庆、四川</w:t>
            </w:r>
          </w:p>
        </w:tc>
      </w:tr>
      <w:tr>
        <w:tblPrEx>
          <w:tblW w:w="6015" w:type="dxa"/>
          <w:tblCellMar>
            <w:top w:w="120" w:type="dxa"/>
            <w:left w:w="120" w:type="dxa"/>
            <w:bottom w:w="120" w:type="dxa"/>
            <w:right w:w="120" w:type="dxa"/>
          </w:tblCellMar>
        </w:tblPrEx>
        <w:trPr>
          <w:cantSplit w:val="0"/>
          <w:trHeight w:val="645"/>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低负担型</w:t>
            </w:r>
          </w:p>
        </w:tc>
        <w:tc>
          <w:tcPr>
            <w:tcW w:w="23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海南、甘肃、宁夏、内蒙古、新疆、贵州、湖南、广西</w:t>
            </w:r>
          </w:p>
        </w:tc>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宁夏、甘肃、内蒙古、新疆、湖南、贵州</w:t>
            </w:r>
          </w:p>
        </w:tc>
      </w:tr>
      <w:tr>
        <w:tblPrEx>
          <w:tblW w:w="6015" w:type="dxa"/>
          <w:tblCellMar>
            <w:top w:w="120" w:type="dxa"/>
            <w:left w:w="120" w:type="dxa"/>
            <w:bottom w:w="120" w:type="dxa"/>
            <w:right w:w="120" w:type="dxa"/>
          </w:tblCellMar>
        </w:tblPrEx>
        <w:trPr>
          <w:cantSplit w:val="0"/>
          <w:trHeight w:val="375"/>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限制型</w:t>
            </w:r>
          </w:p>
        </w:tc>
        <w:tc>
          <w:tcPr>
            <w:tcW w:w="23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西藏、青海</w:t>
            </w:r>
          </w:p>
        </w:tc>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青海、西藏</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 xml:space="preserve">3. </w:t>
      </w:r>
      <w:r>
        <w:rPr>
          <w:rFonts w:ascii="宋体" w:eastAsia="宋体" w:hAnsi="宋体" w:cs="宋体"/>
          <w:color w:val="000000"/>
        </w:rPr>
        <w:t>“安逸型”（   ）</w:t>
      </w:r>
    </w:p>
    <w:p>
      <w:pPr>
        <w:tabs>
          <w:tab w:val="left" w:pos="4873"/>
        </w:tabs>
        <w:spacing w:line="360" w:lineRule="auto"/>
        <w:jc w:val="left"/>
        <w:textAlignment w:val="center"/>
        <w:rPr>
          <w:color w:val="000000"/>
        </w:rPr>
      </w:pPr>
      <w:r>
        <w:rPr>
          <w:color w:val="000000"/>
        </w:rPr>
        <w:t>A</w:t>
      </w:r>
      <w:r>
        <w:rPr>
          <w:color w:val="000000"/>
          <w:position w:val="-22"/>
        </w:rPr>
        <w:drawing>
          <wp:inline>
            <wp:extent cx="31750" cy="88900"/>
            <wp:docPr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7"/>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余寿长、工作余寿短</w:t>
      </w:r>
      <w:r>
        <w:rPr>
          <w:color w:val="000000"/>
        </w:rPr>
        <w:tab/>
      </w:r>
      <w:r>
        <w:rPr>
          <w:color w:val="000000"/>
        </w:rPr>
        <w:t xml:space="preserve">B. </w:t>
      </w:r>
      <w:r>
        <w:rPr>
          <w:rFonts w:ascii="宋体" w:eastAsia="宋体" w:hAnsi="宋体" w:cs="宋体"/>
          <w:color w:val="000000"/>
        </w:rPr>
        <w:t>余寿短、工作余寿长</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余寿与工作余寿均短</w:t>
      </w:r>
      <w:r>
        <w:rPr>
          <w:color w:val="000000"/>
        </w:rPr>
        <w:tab/>
      </w:r>
      <w:r>
        <w:rPr>
          <w:color w:val="000000"/>
        </w:rPr>
        <w:t xml:space="preserve">D. </w:t>
      </w:r>
      <w:r>
        <w:rPr>
          <w:rFonts w:ascii="宋体" w:eastAsia="宋体" w:hAnsi="宋体" w:cs="宋体"/>
          <w:color w:val="000000"/>
        </w:rPr>
        <w:t>余寿与工作余寿均长</w:t>
      </w:r>
    </w:p>
    <w:p>
      <w:pPr>
        <w:spacing w:line="360" w:lineRule="auto"/>
        <w:jc w:val="left"/>
        <w:textAlignment w:val="center"/>
        <w:rPr>
          <w:color w:val="000000"/>
        </w:rPr>
      </w:pPr>
      <w:r>
        <w:rPr>
          <w:color w:val="000000"/>
        </w:rPr>
        <w:t xml:space="preserve">4. </w:t>
      </w:r>
      <w:r>
        <w:rPr>
          <w:rFonts w:ascii="宋体" w:eastAsia="宋体" w:hAnsi="宋体" w:cs="宋体"/>
          <w:color w:val="000000"/>
        </w:rPr>
        <w:t>“高负担型”（   ）</w:t>
      </w:r>
    </w:p>
    <w:p>
      <w:pPr>
        <w:spacing w:line="360" w:lineRule="auto"/>
        <w:jc w:val="left"/>
        <w:textAlignment w:val="center"/>
        <w:rPr>
          <w:color w:val="000000"/>
        </w:rPr>
      </w:pPr>
      <w:r>
        <w:rPr>
          <w:color w:val="000000"/>
        </w:rPr>
        <w:t xml:space="preserve">A. </w:t>
      </w:r>
      <w:r>
        <w:rPr>
          <w:rFonts w:ascii="宋体" w:eastAsia="宋体" w:hAnsi="宋体" w:cs="宋体"/>
          <w:color w:val="000000"/>
        </w:rPr>
        <w:t>养老储备充足，老年人较早结束劳动生涯</w:t>
      </w:r>
    </w:p>
    <w:p>
      <w:pPr>
        <w:spacing w:line="360" w:lineRule="auto"/>
        <w:jc w:val="left"/>
        <w:textAlignment w:val="center"/>
        <w:rPr>
          <w:color w:val="000000"/>
        </w:rPr>
      </w:pPr>
      <w:r>
        <w:rPr>
          <w:color w:val="000000"/>
        </w:rPr>
        <w:t xml:space="preserve">B. </w:t>
      </w:r>
      <w:r>
        <w:rPr>
          <w:rFonts w:ascii="宋体" w:eastAsia="宋体" w:hAnsi="宋体" w:cs="宋体"/>
          <w:color w:val="000000"/>
        </w:rPr>
        <w:t>农业劳动力需求旺盛，老年人被动延长劳动生涯</w:t>
      </w:r>
    </w:p>
    <w:p>
      <w:pPr>
        <w:spacing w:line="360" w:lineRule="auto"/>
        <w:jc w:val="left"/>
        <w:textAlignment w:val="center"/>
        <w:rPr>
          <w:color w:val="000000"/>
        </w:rPr>
      </w:pPr>
      <w:r>
        <w:rPr>
          <w:color w:val="000000"/>
        </w:rPr>
        <w:t xml:space="preserve">C. </w:t>
      </w:r>
      <w:r>
        <w:rPr>
          <w:rFonts w:ascii="宋体" w:eastAsia="宋体" w:hAnsi="宋体" w:cs="宋体"/>
          <w:color w:val="000000"/>
        </w:rPr>
        <w:t>非农就业渠道灵活，老年人有选择地创造劳动价值</w:t>
      </w:r>
    </w:p>
    <w:p>
      <w:pPr>
        <w:spacing w:line="360" w:lineRule="auto"/>
        <w:jc w:val="left"/>
        <w:textAlignment w:val="center"/>
        <w:rPr>
          <w:color w:val="000000"/>
        </w:rPr>
      </w:pPr>
      <w:r>
        <w:rPr>
          <w:color w:val="000000"/>
        </w:rPr>
        <w:t xml:space="preserve">D. </w:t>
      </w:r>
      <w:r>
        <w:rPr>
          <w:rFonts w:ascii="宋体" w:eastAsia="宋体" w:hAnsi="宋体" w:cs="宋体"/>
          <w:color w:val="000000"/>
        </w:rPr>
        <w:t>农业生产方式粗放，老年人更早地退出劳动者行列</w:t>
      </w:r>
    </w:p>
    <w:p>
      <w:pPr>
        <w:spacing w:line="360" w:lineRule="auto"/>
        <w:jc w:val="left"/>
        <w:textAlignment w:val="center"/>
        <w:rPr>
          <w:color w:val="000000"/>
        </w:rPr>
      </w:pPr>
      <w:r>
        <w:rPr>
          <w:color w:val="000000"/>
        </w:rPr>
        <w:t xml:space="preserve">5. </w:t>
      </w:r>
      <w:r>
        <w:rPr>
          <w:rFonts w:ascii="宋体" w:eastAsia="宋体" w:hAnsi="宋体" w:cs="宋体"/>
          <w:color w:val="000000"/>
        </w:rPr>
        <w:t>“限制型”老年人口的余寿和工作余寿均最短，影响其主要的自然因素是（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地形</w:t>
      </w:r>
      <w:r>
        <w:rPr>
          <w:color w:val="000000"/>
        </w:rPr>
        <w:tab/>
      </w:r>
      <w:r>
        <w:rPr>
          <w:color w:val="000000"/>
        </w:rPr>
        <w:t xml:space="preserve">B. </w:t>
      </w:r>
      <w:r>
        <w:rPr>
          <w:rFonts w:ascii="宋体" w:eastAsia="宋体" w:hAnsi="宋体" w:cs="宋体"/>
          <w:color w:val="000000"/>
        </w:rPr>
        <w:t>水文</w:t>
      </w:r>
      <w:r>
        <w:rPr>
          <w:color w:val="000000"/>
        </w:rPr>
        <w:tab/>
      </w:r>
      <w:r>
        <w:rPr>
          <w:color w:val="000000"/>
        </w:rPr>
        <w:t xml:space="preserve">C. </w:t>
      </w:r>
      <w:r>
        <w:rPr>
          <w:rFonts w:ascii="宋体" w:eastAsia="宋体" w:hAnsi="宋体" w:cs="宋体"/>
          <w:color w:val="000000"/>
        </w:rPr>
        <w:t>土壤</w:t>
      </w:r>
      <w:r>
        <w:rPr>
          <w:color w:val="000000"/>
        </w:rPr>
        <w:tab/>
      </w:r>
      <w:r>
        <w:rPr>
          <w:color w:val="000000"/>
        </w:rPr>
        <w:t xml:space="preserve">D. </w:t>
      </w:r>
      <w:r>
        <w:rPr>
          <w:rFonts w:ascii="宋体" w:eastAsia="宋体" w:hAnsi="宋体" w:cs="宋体"/>
          <w:color w:val="000000"/>
        </w:rPr>
        <w:t>光照</w:t>
      </w:r>
    </w:p>
    <w:p>
      <w:pPr>
        <w:spacing w:line="360" w:lineRule="auto"/>
        <w:ind w:firstLine="420"/>
        <w:jc w:val="left"/>
        <w:textAlignment w:val="center"/>
        <w:rPr>
          <w:color w:val="000000"/>
        </w:rPr>
      </w:pPr>
      <w:r>
        <w:rPr>
          <w:rFonts w:ascii="楷体" w:eastAsia="楷体" w:hAnsi="楷体" w:cs="楷体"/>
          <w:color w:val="000000"/>
        </w:rPr>
        <w:t>以高质量发展为主题的新型城镇化包含经济城镇化、社会城镇化、空间城镇化、生态城镇化、人口城镇化等5个子系统，其中社会城镇化主要通过每一高校教师负担学生数、每千人拥有医生数等指标体现；生态城镇化主要通过建成区绿化覆盖率、污水处理率等指标体现。下图示意乌鲁木齐市新型城镇化综合指数及各子系统指数。据此完成下面小题。</w:t>
      </w:r>
    </w:p>
    <w:p>
      <w:pPr>
        <w:spacing w:line="360" w:lineRule="auto"/>
        <w:jc w:val="left"/>
        <w:textAlignment w:val="center"/>
        <w:rPr>
          <w:color w:val="000000"/>
        </w:rPr>
      </w:pPr>
      <w:r>
        <w:rPr>
          <w:color w:val="000000"/>
        </w:rPr>
        <w:drawing>
          <wp:inline>
            <wp:extent cx="3448050" cy="15716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3448050" cy="1571625"/>
                    </a:xfrm>
                    <a:prstGeom prst="rect">
                      <a:avLst/>
                    </a:prstGeom>
                  </pic:spPr>
                </pic:pic>
              </a:graphicData>
            </a:graphic>
          </wp:inline>
        </w:drawing>
      </w:r>
    </w:p>
    <w:p>
      <w:pPr>
        <w:spacing w:line="360" w:lineRule="auto"/>
        <w:jc w:val="left"/>
        <w:textAlignment w:val="center"/>
        <w:rPr>
          <w:color w:val="000000"/>
        </w:rPr>
      </w:pPr>
      <w:r>
        <w:rPr>
          <w:color w:val="000000"/>
        </w:rPr>
        <w:t xml:space="preserve">6. </w:t>
      </w:r>
      <w:r>
        <w:rPr>
          <w:rFonts w:ascii="宋体" w:eastAsia="宋体" w:hAnsi="宋体" w:cs="宋体"/>
          <w:color w:val="000000"/>
        </w:rPr>
        <w:t>乌鲁木齐（   ）</w:t>
      </w:r>
    </w:p>
    <w:p>
      <w:pPr>
        <w:spacing w:line="360" w:lineRule="auto"/>
        <w:jc w:val="left"/>
        <w:textAlignment w:val="center"/>
        <w:rPr>
          <w:color w:val="000000"/>
        </w:rPr>
      </w:pPr>
      <w:r>
        <w:rPr>
          <w:rFonts w:ascii="宋体" w:eastAsia="宋体" w:hAnsi="宋体" w:cs="宋体"/>
          <w:color w:val="000000"/>
        </w:rPr>
        <w:t>①二三产业得到较快发展，2013年经济城镇化指数达极大值</w:t>
      </w:r>
    </w:p>
    <w:p>
      <w:pPr>
        <w:spacing w:line="360" w:lineRule="auto"/>
        <w:jc w:val="left"/>
        <w:textAlignment w:val="center"/>
        <w:rPr>
          <w:color w:val="000000"/>
        </w:rPr>
      </w:pPr>
      <w:r>
        <w:rPr>
          <w:rFonts w:ascii="宋体" w:eastAsia="宋体" w:hAnsi="宋体" w:cs="宋体"/>
          <w:color w:val="000000"/>
        </w:rPr>
        <w:t>②城乡收入差距不断缩小，2016年人口城镇化指数达极大值</w:t>
      </w:r>
    </w:p>
    <w:p>
      <w:pPr>
        <w:spacing w:line="360" w:lineRule="auto"/>
        <w:jc w:val="left"/>
        <w:textAlignment w:val="center"/>
        <w:rPr>
          <w:color w:val="000000"/>
        </w:rPr>
      </w:pPr>
      <w:r>
        <w:rPr>
          <w:rFonts w:ascii="宋体" w:eastAsia="宋体" w:hAnsi="宋体" w:cs="宋体"/>
          <w:color w:val="000000"/>
        </w:rPr>
        <w:t>③建成区面积快速增长，2019年后空间城镇化指数快速上升</w:t>
      </w:r>
    </w:p>
    <w:p>
      <w:pPr>
        <w:spacing w:line="360" w:lineRule="auto"/>
        <w:jc w:val="left"/>
        <w:textAlignment w:val="center"/>
        <w:rPr>
          <w:color w:val="000000"/>
        </w:rPr>
      </w:pPr>
      <w:r>
        <w:rPr>
          <w:rFonts w:ascii="宋体" w:eastAsia="宋体" w:hAnsi="宋体" w:cs="宋体"/>
          <w:color w:val="000000"/>
        </w:rPr>
        <w:t>④城镇绿地面积有所减少，2021年生态城镇化指数有所下降</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7"/>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7. </w:t>
      </w:r>
      <w:r>
        <w:rPr>
          <w:rFonts w:ascii="宋体" w:eastAsia="宋体" w:hAnsi="宋体" w:cs="宋体"/>
          <w:color w:val="000000"/>
        </w:rPr>
        <w:t>与2016年社会城镇化指数极小值密切相关的是（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经济城镇化</w:t>
      </w:r>
      <w:r>
        <w:rPr>
          <w:color w:val="000000"/>
        </w:rPr>
        <w:tab/>
      </w:r>
      <w:r>
        <w:rPr>
          <w:color w:val="000000"/>
        </w:rPr>
        <w:t xml:space="preserve">B. </w:t>
      </w:r>
      <w:r>
        <w:rPr>
          <w:rFonts w:ascii="宋体" w:eastAsia="宋体" w:hAnsi="宋体" w:cs="宋体"/>
          <w:color w:val="000000"/>
        </w:rPr>
        <w:t>空间城镇化</w:t>
      </w:r>
      <w:r>
        <w:rPr>
          <w:color w:val="000000"/>
        </w:rPr>
        <w:tab/>
      </w:r>
      <w:r>
        <w:rPr>
          <w:color w:val="000000"/>
        </w:rPr>
        <w:t xml:space="preserve">C. </w:t>
      </w:r>
      <w:r>
        <w:rPr>
          <w:rFonts w:ascii="宋体" w:eastAsia="宋体" w:hAnsi="宋体" w:cs="宋体"/>
          <w:color w:val="000000"/>
        </w:rPr>
        <w:t>生态城镇化</w:t>
      </w:r>
      <w:r>
        <w:rPr>
          <w:color w:val="000000"/>
        </w:rPr>
        <w:tab/>
      </w:r>
      <w:r>
        <w:rPr>
          <w:color w:val="000000"/>
        </w:rPr>
        <w:t xml:space="preserve">D. </w:t>
      </w:r>
      <w:r>
        <w:rPr>
          <w:rFonts w:ascii="宋体" w:eastAsia="宋体" w:hAnsi="宋体" w:cs="宋体"/>
          <w:color w:val="000000"/>
        </w:rPr>
        <w:t>人口城镇化</w:t>
      </w:r>
    </w:p>
    <w:p>
      <w:pPr>
        <w:spacing w:line="360" w:lineRule="auto"/>
        <w:ind w:firstLine="420"/>
        <w:jc w:val="left"/>
        <w:textAlignment w:val="center"/>
        <w:rPr>
          <w:color w:val="000000"/>
        </w:rPr>
      </w:pPr>
      <w:r>
        <w:rPr>
          <w:rFonts w:ascii="楷体" w:eastAsia="楷体" w:hAnsi="楷体" w:cs="楷体"/>
          <w:color w:val="000000"/>
        </w:rPr>
        <w:t>位于意大利南蒂罗尔（47°N）的公共艺术装置，由环状钢和玻璃组成。下图中水平的大圆环代表当地的地平线，倾斜圆环（每个圆环有96片玻璃，圆环间距相等）代表一年中二分二至日的太阳视运动轨迹。据此完成下面小题。</w:t>
      </w:r>
    </w:p>
    <w:p>
      <w:pPr>
        <w:spacing w:line="360" w:lineRule="auto"/>
        <w:jc w:val="left"/>
        <w:textAlignment w:val="center"/>
        <w:rPr>
          <w:color w:val="000000"/>
        </w:rPr>
      </w:pPr>
      <w:r>
        <w:rPr>
          <w:color w:val="000000"/>
        </w:rPr>
        <w:drawing>
          <wp:inline>
            <wp:extent cx="3114675" cy="25717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3114675" cy="2571750"/>
                    </a:xfrm>
                    <a:prstGeom prst="rect">
                      <a:avLst/>
                    </a:prstGeom>
                  </pic:spPr>
                </pic:pic>
              </a:graphicData>
            </a:graphic>
          </wp:inline>
        </w:drawing>
      </w:r>
    </w:p>
    <w:p>
      <w:pPr>
        <w:spacing w:line="360" w:lineRule="auto"/>
        <w:jc w:val="left"/>
        <w:textAlignment w:val="center"/>
        <w:rPr>
          <w:color w:val="000000"/>
        </w:rPr>
      </w:pPr>
      <w:r>
        <w:rPr>
          <w:color w:val="000000"/>
        </w:rPr>
        <w:t xml:space="preserve">8. </w:t>
      </w:r>
      <w:r>
        <w:rPr>
          <w:rFonts w:ascii="宋体" w:eastAsia="宋体" w:hAnsi="宋体" w:cs="宋体"/>
          <w:color w:val="000000"/>
        </w:rPr>
        <w:t>图中圆环①②③④⑤中部分可追踪二分二至日的太阳轨迹，其中（   ）</w:t>
      </w:r>
    </w:p>
    <w:p>
      <w:pPr>
        <w:spacing w:line="360" w:lineRule="auto"/>
        <w:jc w:val="left"/>
        <w:textAlignment w:val="center"/>
        <w:rPr>
          <w:color w:val="000000"/>
        </w:rPr>
      </w:pPr>
      <w:r>
        <w:rPr>
          <w:rFonts w:ascii="宋体" w:eastAsia="宋体" w:hAnsi="宋体" w:cs="宋体"/>
          <w:color w:val="000000"/>
        </w:rPr>
        <w:t>①为春分日②为夏至日③为秋分日④为冬至日⑤为冬至日</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②④</w:t>
      </w:r>
      <w:r>
        <w:rPr>
          <w:color w:val="000000"/>
        </w:rPr>
        <w:tab/>
      </w:r>
      <w:r>
        <w:rPr>
          <w:color w:val="000000"/>
        </w:rPr>
        <w:t xml:space="preserve">C. </w:t>
      </w:r>
      <w:r>
        <w:rPr>
          <w:rFonts w:ascii="宋体" w:eastAsia="宋体" w:hAnsi="宋体" w:cs="宋体"/>
          <w:color w:val="000000"/>
        </w:rPr>
        <w:t>②⑤</w:t>
      </w:r>
      <w:r>
        <w:rPr>
          <w:color w:val="000000"/>
        </w:rPr>
        <w:tab/>
      </w:r>
      <w:r>
        <w:rPr>
          <w:color w:val="000000"/>
        </w:rPr>
        <w:t xml:space="preserve">D. </w:t>
      </w:r>
      <w:r>
        <w:rPr>
          <w:rFonts w:ascii="宋体" w:eastAsia="宋体" w:hAnsi="宋体" w:cs="宋体"/>
          <w:color w:val="000000"/>
        </w:rPr>
        <w:t>③⑤</w:t>
      </w:r>
    </w:p>
    <w:p>
      <w:pPr>
        <w:spacing w:line="360" w:lineRule="auto"/>
        <w:jc w:val="left"/>
        <w:textAlignment w:val="center"/>
        <w:rPr>
          <w:color w:val="000000"/>
        </w:rPr>
      </w:pPr>
      <w:r>
        <w:rPr>
          <w:color w:val="000000"/>
        </w:rPr>
        <w:t xml:space="preserve">9. </w:t>
      </w:r>
      <w:r>
        <w:rPr>
          <w:rFonts w:ascii="宋体" w:eastAsia="宋体" w:hAnsi="宋体" w:cs="宋体"/>
          <w:color w:val="000000"/>
        </w:rPr>
        <w:t>3月上旬，观者发现一日内太阳经过的玻璃片数最多可能为（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46片</w:t>
      </w:r>
      <w:r>
        <w:rPr>
          <w:color w:val="000000"/>
        </w:rPr>
        <w:tab/>
      </w:r>
      <w:r>
        <w:rPr>
          <w:color w:val="000000"/>
        </w:rPr>
        <w:t xml:space="preserve">B. </w:t>
      </w:r>
      <w:r>
        <w:rPr>
          <w:rFonts w:ascii="宋体" w:eastAsia="宋体" w:hAnsi="宋体" w:cs="宋体"/>
          <w:color w:val="000000"/>
        </w:rPr>
        <w:t>48片</w:t>
      </w:r>
      <w:r>
        <w:rPr>
          <w:color w:val="000000"/>
        </w:rPr>
        <w:tab/>
      </w:r>
      <w:r>
        <w:rPr>
          <w:color w:val="000000"/>
        </w:rPr>
        <w:t xml:space="preserve">C. </w:t>
      </w:r>
      <w:r>
        <w:rPr>
          <w:rFonts w:ascii="宋体" w:eastAsia="宋体" w:hAnsi="宋体" w:cs="宋体"/>
          <w:color w:val="000000"/>
        </w:rPr>
        <w:t>50片</w:t>
      </w:r>
      <w:r>
        <w:rPr>
          <w:color w:val="000000"/>
        </w:rPr>
        <w:tab/>
      </w:r>
      <w:r>
        <w:rPr>
          <w:color w:val="000000"/>
        </w:rPr>
        <w:t xml:space="preserve">D. </w:t>
      </w:r>
      <w:r>
        <w:rPr>
          <w:rFonts w:ascii="宋体" w:eastAsia="宋体" w:hAnsi="宋体" w:cs="宋体"/>
          <w:color w:val="000000"/>
        </w:rPr>
        <w:t>52片</w:t>
      </w:r>
    </w:p>
    <w:p>
      <w:pPr>
        <w:spacing w:line="360" w:lineRule="auto"/>
        <w:ind w:firstLine="420"/>
        <w:jc w:val="left"/>
        <w:textAlignment w:val="center"/>
        <w:rPr>
          <w:color w:val="000000"/>
        </w:rPr>
      </w:pPr>
      <w:r>
        <w:rPr>
          <w:rFonts w:ascii="楷体" w:eastAsia="楷体" w:hAnsi="楷体" w:cs="楷体"/>
          <w:color w:val="000000"/>
        </w:rPr>
        <w:t>暖日（夜）日数是指日最高（低）气温&gt;90%分位值（50%分位值为中位数）的日数，冷日（夜）日数是指日最高（低）气温&lt;10%分位值的日数。全球变暖背景下，极端天气和气候事件频发。下图示意1969～2020年四川省极端气温年际变化。据此完成下面小题。</w:t>
      </w:r>
    </w:p>
    <w:p>
      <w:pPr>
        <w:spacing w:line="360" w:lineRule="auto"/>
        <w:jc w:val="left"/>
        <w:textAlignment w:val="center"/>
        <w:rPr>
          <w:color w:val="000000"/>
        </w:rPr>
      </w:pPr>
      <w:r>
        <w:rPr>
          <w:color w:val="000000"/>
        </w:rPr>
        <w:drawing>
          <wp:inline>
            <wp:extent cx="4514850" cy="111442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4514850" cy="1114425"/>
                    </a:xfrm>
                    <a:prstGeom prst="rect">
                      <a:avLst/>
                    </a:prstGeom>
                  </pic:spPr>
                </pic:pic>
              </a:graphicData>
            </a:graphic>
          </wp:inline>
        </w:drawing>
      </w:r>
    </w:p>
    <w:p>
      <w:pPr>
        <w:spacing w:line="360" w:lineRule="auto"/>
        <w:jc w:val="left"/>
        <w:textAlignment w:val="center"/>
        <w:rPr>
          <w:color w:val="000000"/>
        </w:rPr>
      </w:pPr>
      <w:r>
        <w:rPr>
          <w:color w:val="000000"/>
        </w:rPr>
        <w:t xml:space="preserve">10. </w:t>
      </w:r>
      <w:r>
        <w:rPr>
          <w:rFonts w:ascii="宋体" w:eastAsia="宋体" w:hAnsi="宋体" w:cs="宋体"/>
          <w:color w:val="000000"/>
        </w:rPr>
        <w:t>四川省（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1969～2020年白天均温先上升后降低</w:t>
      </w:r>
      <w:r>
        <w:rPr>
          <w:color w:val="000000"/>
        </w:rPr>
        <w:tab/>
      </w:r>
      <w:r>
        <w:rPr>
          <w:color w:val="000000"/>
        </w:rPr>
        <w:t xml:space="preserve">B. </w:t>
      </w:r>
      <w:r>
        <w:rPr>
          <w:rFonts w:ascii="宋体" w:eastAsia="宋体" w:hAnsi="宋体" w:cs="宋体"/>
          <w:color w:val="000000"/>
        </w:rPr>
        <w:t>2005～2019年白天均温较高</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1969～2020年夜晚均温先降低后上升</w:t>
      </w:r>
      <w:r>
        <w:rPr>
          <w:color w:val="000000"/>
        </w:rPr>
        <w:tab/>
      </w:r>
      <w:r>
        <w:rPr>
          <w:color w:val="000000"/>
        </w:rPr>
        <w:t xml:space="preserve">D. </w:t>
      </w:r>
      <w:r>
        <w:rPr>
          <w:rFonts w:ascii="宋体" w:eastAsia="宋体" w:hAnsi="宋体" w:cs="宋体"/>
          <w:color w:val="000000"/>
        </w:rPr>
        <w:t>2010～2019年夜晚均温较低</w:t>
      </w:r>
    </w:p>
    <w:p>
      <w:pPr>
        <w:spacing w:line="360" w:lineRule="auto"/>
        <w:jc w:val="left"/>
        <w:textAlignment w:val="center"/>
        <w:rPr>
          <w:color w:val="000000"/>
        </w:rPr>
      </w:pPr>
      <w:r>
        <w:rPr>
          <w:color w:val="000000"/>
        </w:rPr>
        <w:t xml:space="preserve">11. </w:t>
      </w:r>
      <w:r>
        <w:rPr>
          <w:rFonts w:ascii="宋体" w:eastAsia="宋体" w:hAnsi="宋体" w:cs="宋体"/>
          <w:color w:val="000000"/>
        </w:rPr>
        <w:t>近年来，四川省极端气温变化的影响是（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减缓水循环的速度</w:t>
      </w:r>
      <w:r>
        <w:rPr>
          <w:color w:val="000000"/>
        </w:rPr>
        <w:tab/>
      </w:r>
      <w:r>
        <w:rPr>
          <w:color w:val="000000"/>
        </w:rPr>
        <w:t xml:space="preserve">B. </w:t>
      </w:r>
      <w:r>
        <w:rPr>
          <w:rFonts w:ascii="宋体" w:eastAsia="宋体" w:hAnsi="宋体" w:cs="宋体"/>
          <w:color w:val="000000"/>
        </w:rPr>
        <w:t>减少植物养分消耗</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降低作物冻害风险</w:t>
      </w:r>
      <w:r>
        <w:rPr>
          <w:color w:val="000000"/>
        </w:rPr>
        <w:tab/>
      </w:r>
      <w:r>
        <w:rPr>
          <w:color w:val="000000"/>
        </w:rPr>
        <w:t xml:space="preserve">D. </w:t>
      </w:r>
      <w:r>
        <w:rPr>
          <w:rFonts w:ascii="宋体" w:eastAsia="宋体" w:hAnsi="宋体" w:cs="宋体"/>
          <w:color w:val="000000"/>
        </w:rPr>
        <w:t>扩大水稻种植面积</w:t>
      </w:r>
    </w:p>
    <w:p>
      <w:pPr>
        <w:spacing w:line="360" w:lineRule="auto"/>
        <w:ind w:firstLine="420"/>
        <w:jc w:val="left"/>
        <w:textAlignment w:val="center"/>
        <w:rPr>
          <w:color w:val="000000"/>
        </w:rPr>
      </w:pPr>
      <w:r>
        <w:rPr>
          <w:rFonts w:ascii="楷体" w:eastAsia="楷体" w:hAnsi="楷体" w:cs="楷体"/>
          <w:color w:val="000000"/>
        </w:rPr>
        <w:t>黑脸琵鹭是全球最濒危鸟类之一，主要分布于东亚地区，海南岛是其重要的越冬地。研究发现，黑脸琵鹭春季迁徙前期上午活动高峰为8：00～9：00，而往我国东北、朝鲜半岛迁徙期间活动高峰为7:00～8:00。下图示意海南岛黑脸琵鹭调查点分布。据此完成下面小题。</w:t>
      </w:r>
    </w:p>
    <w:p>
      <w:pPr>
        <w:spacing w:line="360" w:lineRule="auto"/>
        <w:jc w:val="left"/>
        <w:textAlignment w:val="center"/>
        <w:rPr>
          <w:color w:val="000000"/>
        </w:rPr>
      </w:pPr>
      <w:r>
        <w:rPr>
          <w:color w:val="000000"/>
        </w:rPr>
        <w:drawing>
          <wp:inline>
            <wp:extent cx="3209925" cy="292417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1"/>
                    <a:stretch>
                      <a:fillRect/>
                    </a:stretch>
                  </pic:blipFill>
                  <pic:spPr>
                    <a:xfrm>
                      <a:off x="0" y="0"/>
                      <a:ext cx="3209925" cy="2924175"/>
                    </a:xfrm>
                    <a:prstGeom prst="rect">
                      <a:avLst/>
                    </a:prstGeom>
                  </pic:spPr>
                </pic:pic>
              </a:graphicData>
            </a:graphic>
          </wp:inline>
        </w:drawing>
      </w:r>
    </w:p>
    <w:p>
      <w:pPr>
        <w:spacing w:line="360" w:lineRule="auto"/>
        <w:jc w:val="left"/>
        <w:textAlignment w:val="center"/>
        <w:rPr>
          <w:color w:val="000000"/>
        </w:rPr>
      </w:pPr>
      <w:r>
        <w:rPr>
          <w:color w:val="000000"/>
        </w:rPr>
        <w:t xml:space="preserve">12. </w:t>
      </w:r>
      <w:r>
        <w:rPr>
          <w:rFonts w:ascii="宋体" w:eastAsia="宋体" w:hAnsi="宋体" w:cs="宋体"/>
          <w:color w:val="000000"/>
        </w:rPr>
        <w:t>海南岛发现黑脸琵鹭的调查点，其优势条件是（   ）</w:t>
      </w:r>
    </w:p>
    <w:p>
      <w:pPr>
        <w:spacing w:line="360" w:lineRule="auto"/>
        <w:jc w:val="left"/>
        <w:textAlignment w:val="center"/>
        <w:rPr>
          <w:color w:val="000000"/>
        </w:rPr>
      </w:pPr>
      <w:r>
        <w:rPr>
          <w:rFonts w:ascii="宋体" w:eastAsia="宋体" w:hAnsi="宋体" w:cs="宋体"/>
          <w:color w:val="000000"/>
        </w:rPr>
        <w:t>①城镇分布少，干扰较小 ②河流入海口，滩涂广布</w:t>
      </w:r>
    </w:p>
    <w:p>
      <w:pPr>
        <w:spacing w:line="360" w:lineRule="auto"/>
        <w:jc w:val="left"/>
        <w:textAlignment w:val="center"/>
        <w:rPr>
          <w:color w:val="000000"/>
        </w:rPr>
      </w:pPr>
      <w:r>
        <w:rPr>
          <w:rFonts w:ascii="宋体" w:eastAsia="宋体" w:hAnsi="宋体" w:cs="宋体"/>
          <w:color w:val="000000"/>
        </w:rPr>
        <w:t>③生态环境优，食物充足 ④地处背风坡，气温较高</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7"/>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13. </w:t>
      </w:r>
      <w:r>
        <w:rPr>
          <w:rFonts w:ascii="宋体" w:eastAsia="宋体" w:hAnsi="宋体" w:cs="宋体"/>
          <w:color w:val="000000"/>
        </w:rPr>
        <w:t>影响黑脸琵鹭春季迁徙期上午活动高峰较迁徙前期提前的因素最可能是（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气温</w:t>
      </w:r>
      <w:r>
        <w:rPr>
          <w:color w:val="000000"/>
        </w:rPr>
        <w:tab/>
      </w:r>
      <w:r>
        <w:rPr>
          <w:color w:val="000000"/>
        </w:rPr>
        <w:t xml:space="preserve">B. </w:t>
      </w:r>
      <w:r>
        <w:rPr>
          <w:rFonts w:ascii="宋体" w:eastAsia="宋体" w:hAnsi="宋体" w:cs="宋体"/>
          <w:color w:val="000000"/>
        </w:rPr>
        <w:t>降水</w:t>
      </w:r>
      <w:r>
        <w:rPr>
          <w:color w:val="000000"/>
        </w:rPr>
        <w:tab/>
      </w:r>
      <w:r>
        <w:rPr>
          <w:color w:val="000000"/>
        </w:rPr>
        <w:t xml:space="preserve">C. </w:t>
      </w:r>
      <w:r>
        <w:rPr>
          <w:rFonts w:ascii="宋体" w:eastAsia="宋体" w:hAnsi="宋体" w:cs="宋体"/>
          <w:color w:val="000000"/>
        </w:rPr>
        <w:t>光照</w:t>
      </w:r>
      <w:r>
        <w:rPr>
          <w:color w:val="000000"/>
        </w:rPr>
        <w:tab/>
      </w:r>
      <w:r>
        <w:rPr>
          <w:color w:val="000000"/>
        </w:rPr>
        <w:t xml:space="preserve">D. </w:t>
      </w:r>
      <w:r>
        <w:rPr>
          <w:rFonts w:ascii="宋体" w:eastAsia="宋体" w:hAnsi="宋体" w:cs="宋体"/>
          <w:color w:val="000000"/>
        </w:rPr>
        <w:t>风力</w:t>
      </w:r>
    </w:p>
    <w:p>
      <w:pPr>
        <w:spacing w:line="360" w:lineRule="auto"/>
        <w:ind w:firstLine="420"/>
        <w:jc w:val="left"/>
        <w:textAlignment w:val="center"/>
        <w:rPr>
          <w:color w:val="000000"/>
        </w:rPr>
      </w:pPr>
      <w:r>
        <w:rPr>
          <w:rFonts w:ascii="楷体" w:eastAsia="楷体" w:hAnsi="楷体" w:cs="楷体"/>
          <w:color w:val="000000"/>
        </w:rPr>
        <w:t>等高反坡阶作为坡耕地水土保持措施之一，可有效减少水土流失。随着使用年限的增长，等高反坡阶的生态效益会降低。下图示意四个相邻样地、等高反坡阶剖面和不同坡度等高反坡阶样地径流量、泥沙量削减率。据此完成下面小题。</w:t>
      </w:r>
    </w:p>
    <w:p>
      <w:pPr>
        <w:spacing w:line="360" w:lineRule="auto"/>
        <w:jc w:val="left"/>
        <w:textAlignment w:val="center"/>
        <w:rPr>
          <w:color w:val="000000"/>
        </w:rPr>
      </w:pPr>
      <w:r>
        <w:rPr>
          <w:color w:val="000000"/>
        </w:rPr>
        <w:drawing>
          <wp:inline>
            <wp:extent cx="4781550" cy="14763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2"/>
                    <a:stretch>
                      <a:fillRect/>
                    </a:stretch>
                  </pic:blipFill>
                  <pic:spPr>
                    <a:xfrm>
                      <a:off x="0" y="0"/>
                      <a:ext cx="4781550" cy="1476375"/>
                    </a:xfrm>
                    <a:prstGeom prst="rect">
                      <a:avLst/>
                    </a:prstGeom>
                  </pic:spPr>
                </pic:pic>
              </a:graphicData>
            </a:graphic>
          </wp:inline>
        </w:drawing>
      </w:r>
    </w:p>
    <w:p>
      <w:pPr>
        <w:spacing w:line="360" w:lineRule="auto"/>
        <w:jc w:val="left"/>
        <w:textAlignment w:val="center"/>
        <w:rPr>
          <w:color w:val="000000"/>
        </w:rPr>
      </w:pPr>
      <w:r>
        <w:rPr>
          <w:color w:val="000000"/>
        </w:rPr>
        <w:t xml:space="preserve">14. </w:t>
      </w:r>
      <w:r>
        <w:rPr>
          <w:rFonts w:ascii="宋体" w:eastAsia="宋体" w:hAnsi="宋体" w:cs="宋体"/>
          <w:color w:val="000000"/>
        </w:rPr>
        <w:t>四个样地中，水土保持效益由好到差的排序为（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样地3&gt;样地4&gt;样地1&gt;样地2</w:t>
      </w:r>
      <w:r>
        <w:rPr>
          <w:color w:val="000000"/>
        </w:rPr>
        <w:tab/>
      </w:r>
      <w:r>
        <w:rPr>
          <w:color w:val="000000"/>
        </w:rPr>
        <w:t xml:space="preserve">B. </w:t>
      </w:r>
      <w:r>
        <w:rPr>
          <w:rFonts w:ascii="宋体" w:eastAsia="宋体" w:hAnsi="宋体" w:cs="宋体"/>
          <w:color w:val="000000"/>
        </w:rPr>
        <w:t>样地3&gt;样地4&gt;样地2&gt;样地1</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样地4&gt;样地3&gt;样地2&gt;样地1</w:t>
      </w:r>
      <w:r>
        <w:rPr>
          <w:color w:val="000000"/>
        </w:rPr>
        <w:tab/>
      </w:r>
      <w:r>
        <w:rPr>
          <w:color w:val="000000"/>
        </w:rPr>
        <w:t xml:space="preserve">D. </w:t>
      </w:r>
      <w:r>
        <w:rPr>
          <w:rFonts w:ascii="宋体" w:eastAsia="宋体" w:hAnsi="宋体" w:cs="宋体"/>
          <w:color w:val="000000"/>
        </w:rPr>
        <w:t>样地4&gt;样地3&gt;样地1&gt;样地2</w:t>
      </w:r>
    </w:p>
    <w:p>
      <w:pPr>
        <w:spacing w:line="360" w:lineRule="auto"/>
        <w:jc w:val="left"/>
        <w:textAlignment w:val="center"/>
        <w:rPr>
          <w:color w:val="000000"/>
        </w:rPr>
      </w:pPr>
      <w:r>
        <w:rPr>
          <w:color w:val="000000"/>
        </w:rPr>
        <w:t xml:space="preserve">15. </w:t>
      </w:r>
      <w:r>
        <w:rPr>
          <w:rFonts w:ascii="宋体" w:eastAsia="宋体" w:hAnsi="宋体" w:cs="宋体"/>
          <w:color w:val="000000"/>
        </w:rPr>
        <w:t>与原状坡耕地相比，布设等高反坡阶措施</w:t>
      </w:r>
      <w:r>
        <w:rPr>
          <w:rFonts w:ascii="宋体" w:eastAsia="宋体" w:hAnsi="宋体" w:cs="宋体"/>
          <w:color w:val="000000"/>
          <w:position w:val="0"/>
        </w:rPr>
        <w:drawing>
          <wp:inline>
            <wp:extent cx="133350" cy="177800"/>
            <wp:docPr id="148435468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354686" name=""/>
                    <pic:cNvPicPr>
                      <a:picLocks noChangeAspect="1"/>
                    </pic:cNvPicPr>
                  </pic:nvPicPr>
                  <pic:blipFill>
                    <a:blip xmlns:r="http://schemas.openxmlformats.org/officeDocument/2006/relationships" r:embed="rId13"/>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主要目的是（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增加物种数量</w:t>
      </w:r>
      <w:r>
        <w:rPr>
          <w:color w:val="000000"/>
        </w:rPr>
        <w:tab/>
      </w:r>
      <w:r>
        <w:rPr>
          <w:color w:val="000000"/>
        </w:rPr>
        <w:t xml:space="preserve">B. </w:t>
      </w:r>
      <w:r>
        <w:rPr>
          <w:rFonts w:ascii="宋体" w:eastAsia="宋体" w:hAnsi="宋体" w:cs="宋体"/>
          <w:color w:val="000000"/>
        </w:rPr>
        <w:t>促进植物生长</w:t>
      </w:r>
      <w:r>
        <w:rPr>
          <w:color w:val="000000"/>
        </w:rPr>
        <w:tab/>
      </w:r>
      <w:r>
        <w:rPr>
          <w:color w:val="000000"/>
        </w:rPr>
        <w:t xml:space="preserve">C. </w:t>
      </w:r>
      <w:r>
        <w:rPr>
          <w:rFonts w:ascii="宋体" w:eastAsia="宋体" w:hAnsi="宋体" w:cs="宋体"/>
          <w:color w:val="000000"/>
        </w:rPr>
        <w:t>改良土壤质地</w:t>
      </w:r>
      <w:r>
        <w:rPr>
          <w:color w:val="000000"/>
        </w:rPr>
        <w:tab/>
      </w:r>
      <w:r>
        <w:rPr>
          <w:color w:val="000000"/>
        </w:rPr>
        <w:t xml:space="preserve">D. </w:t>
      </w:r>
      <w:r>
        <w:rPr>
          <w:rFonts w:ascii="宋体" w:eastAsia="宋体" w:hAnsi="宋体" w:cs="宋体"/>
          <w:color w:val="000000"/>
        </w:rPr>
        <w:t>减少植被蒸腾</w:t>
      </w:r>
    </w:p>
    <w:p>
      <w:pPr>
        <w:spacing w:line="360" w:lineRule="auto"/>
        <w:jc w:val="left"/>
        <w:textAlignment w:val="center"/>
        <w:rPr>
          <w:color w:val="000000"/>
        </w:rPr>
      </w:pPr>
      <w:r>
        <w:rPr>
          <w:color w:val="000000"/>
        </w:rPr>
        <w:t xml:space="preserve">16. </w:t>
      </w:r>
      <w:r>
        <w:rPr>
          <w:rFonts w:ascii="宋体" w:eastAsia="宋体" w:hAnsi="宋体" w:cs="宋体"/>
          <w:color w:val="000000"/>
        </w:rPr>
        <w:t>为保持等高反坡阶</w:t>
      </w:r>
      <w:r>
        <w:rPr>
          <w:rFonts w:ascii="宋体" w:eastAsia="宋体" w:hAnsi="宋体" w:cs="宋体"/>
          <w:color w:val="000000"/>
          <w:position w:val="0"/>
        </w:rPr>
        <w:drawing>
          <wp:inline>
            <wp:extent cx="133350" cy="177800"/>
            <wp:docPr id="1000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3"/>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生态效益，最合理的措施是定期（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增大坡面坡度</w:t>
      </w:r>
      <w:r>
        <w:rPr>
          <w:color w:val="000000"/>
        </w:rPr>
        <w:tab/>
      </w:r>
      <w:r>
        <w:rPr>
          <w:color w:val="000000"/>
        </w:rPr>
        <w:t xml:space="preserve">B. </w:t>
      </w:r>
      <w:r>
        <w:rPr>
          <w:rFonts w:ascii="宋体" w:eastAsia="宋体" w:hAnsi="宋体" w:cs="宋体"/>
          <w:color w:val="000000"/>
        </w:rPr>
        <w:t>增大反阶角度</w:t>
      </w:r>
      <w:r>
        <w:rPr>
          <w:color w:val="000000"/>
        </w:rPr>
        <w:tab/>
      </w:r>
      <w:r>
        <w:rPr>
          <w:color w:val="000000"/>
        </w:rPr>
        <w:t xml:space="preserve">C. </w:t>
      </w:r>
      <w:r>
        <w:rPr>
          <w:rFonts w:ascii="宋体" w:eastAsia="宋体" w:hAnsi="宋体" w:cs="宋体"/>
          <w:color w:val="000000"/>
        </w:rPr>
        <w:t>扩大坡面面积</w:t>
      </w:r>
      <w:r>
        <w:rPr>
          <w:color w:val="000000"/>
        </w:rPr>
        <w:tab/>
      </w:r>
      <w:r>
        <w:rPr>
          <w:color w:val="000000"/>
        </w:rPr>
        <w:t xml:space="preserve">D. </w:t>
      </w:r>
      <w:r>
        <w:rPr>
          <w:rFonts w:ascii="宋体" w:eastAsia="宋体" w:hAnsi="宋体" w:cs="宋体"/>
          <w:color w:val="000000"/>
        </w:rPr>
        <w:t>缩短阶宽宽度</w:t>
      </w:r>
    </w:p>
    <w:p>
      <w:pPr>
        <w:spacing w:line="360" w:lineRule="auto"/>
        <w:jc w:val="left"/>
        <w:textAlignment w:val="center"/>
        <w:rPr>
          <w:color w:val="000000"/>
        </w:rPr>
      </w:pPr>
      <w:r>
        <w:rPr>
          <w:rFonts w:ascii="宋体" w:eastAsia="宋体" w:hAnsi="宋体" w:cs="宋体"/>
          <w:b/>
          <w:color w:val="000000"/>
          <w:sz w:val="24"/>
        </w:rPr>
        <w:t>二、非选择题：本题共3小题，共52分。</w:t>
      </w:r>
    </w:p>
    <w:p>
      <w:pPr>
        <w:spacing w:line="360" w:lineRule="auto"/>
        <w:jc w:val="left"/>
        <w:textAlignment w:val="center"/>
        <w:rPr>
          <w:color w:val="000000"/>
        </w:rPr>
      </w:pPr>
      <w:r>
        <w:rPr>
          <w:color w:val="000000"/>
        </w:rPr>
        <w:t xml:space="preserve">17. </w:t>
      </w:r>
      <w:r>
        <w:rPr>
          <w:rFonts w:ascii="宋体" w:eastAsia="宋体" w:hAnsi="宋体" w:cs="宋体"/>
          <w:color w:val="000000"/>
        </w:rPr>
        <w:t>阅读图文材料，完成下列要求。</w:t>
      </w:r>
    </w:p>
    <w:p>
      <w:pPr>
        <w:spacing w:line="360" w:lineRule="auto"/>
        <w:ind w:firstLine="420"/>
        <w:jc w:val="left"/>
        <w:textAlignment w:val="center"/>
        <w:rPr>
          <w:color w:val="000000"/>
        </w:rPr>
      </w:pPr>
      <w:r>
        <w:rPr>
          <w:rFonts w:ascii="楷体" w:eastAsia="楷体" w:hAnsi="楷体" w:cs="楷体"/>
          <w:color w:val="000000"/>
        </w:rPr>
        <w:t>冰碛湖是指冰川消融时，终碛物（冰川前端的堆积物）堵塞河道或冰川谷，积水形成的湖泊。冰碛湖溃决的诱因，主要包括终碛物（坝体）稳定性与外界因素（崩塌体进入湖中）。吉翁错位于西藏东部尼都藏布流域，夏季盛行西南季风，在2020年夏季发生溃决，调查发现湖泊东岸边坡崩塌体面积较大。如图示意2000年以来吉翁错面积变化。</w:t>
      </w:r>
    </w:p>
    <w:p>
      <w:pPr>
        <w:spacing w:line="360" w:lineRule="auto"/>
        <w:jc w:val="left"/>
        <w:textAlignment w:val="center"/>
        <w:rPr>
          <w:color w:val="000000"/>
        </w:rPr>
      </w:pPr>
      <w:r>
        <w:rPr>
          <w:color w:val="000000"/>
        </w:rPr>
        <w:drawing>
          <wp:inline>
            <wp:extent cx="2533650" cy="34194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4"/>
                    <a:stretch>
                      <a:fillRect/>
                    </a:stretch>
                  </pic:blipFill>
                  <pic:spPr>
                    <a:xfrm>
                      <a:off x="0" y="0"/>
                      <a:ext cx="2533650" cy="34194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从外力作用角度，分析湖泊东岸边坡崩塌体面积较大的原因。</w:t>
      </w:r>
    </w:p>
    <w:p>
      <w:pPr>
        <w:spacing w:line="360" w:lineRule="auto"/>
        <w:jc w:val="left"/>
        <w:textAlignment w:val="center"/>
        <w:rPr>
          <w:color w:val="000000"/>
        </w:rPr>
      </w:pPr>
      <w:r>
        <w:rPr>
          <w:color w:val="000000"/>
        </w:rPr>
        <w:t>（2）</w:t>
      </w:r>
      <w:r>
        <w:rPr>
          <w:rFonts w:ascii="宋体" w:eastAsia="宋体" w:hAnsi="宋体" w:cs="宋体"/>
          <w:color w:val="000000"/>
        </w:rPr>
        <w:t>说出吉翁错溃决前后湖底沉积物粒径的变化，并分析其原因。</w:t>
      </w:r>
    </w:p>
    <w:p>
      <w:pPr>
        <w:spacing w:line="360" w:lineRule="auto"/>
        <w:jc w:val="left"/>
        <w:textAlignment w:val="center"/>
        <w:rPr>
          <w:color w:val="000000"/>
        </w:rPr>
      </w:pPr>
      <w:r>
        <w:rPr>
          <w:color w:val="000000"/>
        </w:rPr>
        <w:t>（3）</w:t>
      </w:r>
      <w:r>
        <w:rPr>
          <w:rFonts w:ascii="宋体" w:eastAsia="宋体" w:hAnsi="宋体" w:cs="宋体"/>
          <w:color w:val="000000"/>
        </w:rPr>
        <w:t>推测吉翁错溃决后在甲区形成的地貌，并说明形成过程。</w:t>
      </w:r>
    </w:p>
    <w:p>
      <w:pPr>
        <w:spacing w:line="360" w:lineRule="auto"/>
        <w:jc w:val="left"/>
        <w:textAlignment w:val="center"/>
        <w:rPr>
          <w:color w:val="000000"/>
        </w:rPr>
      </w:pPr>
      <w:r>
        <w:rPr>
          <w:color w:val="000000"/>
        </w:rPr>
        <w:t xml:space="preserve">18. </w:t>
      </w:r>
      <w:r>
        <w:rPr>
          <w:rFonts w:ascii="宋体" w:eastAsia="宋体" w:hAnsi="宋体" w:cs="宋体"/>
          <w:color w:val="000000"/>
        </w:rPr>
        <w:t>阅读图文材料，完成下列要求。</w:t>
      </w:r>
    </w:p>
    <w:p>
      <w:pPr>
        <w:spacing w:line="360" w:lineRule="auto"/>
        <w:ind w:firstLine="420"/>
        <w:jc w:val="left"/>
        <w:textAlignment w:val="center"/>
        <w:rPr>
          <w:color w:val="000000"/>
        </w:rPr>
      </w:pPr>
      <w:r>
        <w:rPr>
          <w:rFonts w:ascii="楷体" w:eastAsia="楷体" w:hAnsi="楷体" w:cs="楷体"/>
          <w:color w:val="000000"/>
        </w:rPr>
        <w:t>河蟹食性很杂，善于挖洞与攀爬，最适宜在中性或微碱性的水体中生长。河蟹一生中要蜕壳20次左右，钙是河蟹甲壳的重要组成部分，补钙可以帮助河蟹蜕壳。稻蟹共生模式是在辽宁省盘锦市发展起来的稻田种养模式，在稻田内既种植水稻又养殖河蟹。稻田田埂内侧须埋置塑料薄膜，并在稻田对角设有进出水口，以便水体更新。为了使河蟹健康成长，稻田要定期泼洒石灰水[主要成分是Ca（OH）₂]。下图示意水稻与河蟹共生系统。</w:t>
      </w:r>
    </w:p>
    <w:p>
      <w:pPr>
        <w:spacing w:line="360" w:lineRule="auto"/>
        <w:jc w:val="left"/>
        <w:textAlignment w:val="center"/>
        <w:rPr>
          <w:color w:val="000000"/>
        </w:rPr>
      </w:pPr>
      <w:r>
        <w:rPr>
          <w:color w:val="000000"/>
        </w:rPr>
        <w:drawing>
          <wp:inline>
            <wp:extent cx="3505200" cy="29051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5"/>
                    <a:stretch>
                      <a:fillRect/>
                    </a:stretch>
                  </pic:blipFill>
                  <pic:spPr>
                    <a:xfrm>
                      <a:off x="0" y="0"/>
                      <a:ext cx="3505200" cy="29051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河蟹“越狱”能力很强，简述防止河蟹逃跑的措施。</w:t>
      </w:r>
    </w:p>
    <w:p>
      <w:pPr>
        <w:spacing w:line="360" w:lineRule="auto"/>
        <w:jc w:val="left"/>
        <w:textAlignment w:val="center"/>
        <w:rPr>
          <w:color w:val="000000"/>
        </w:rPr>
      </w:pPr>
      <w:r>
        <w:rPr>
          <w:color w:val="000000"/>
        </w:rPr>
        <w:t>（2）</w:t>
      </w:r>
      <w:r>
        <w:rPr>
          <w:rFonts w:ascii="宋体" w:eastAsia="宋体" w:hAnsi="宋体" w:cs="宋体"/>
          <w:color w:val="000000"/>
        </w:rPr>
        <w:t>指出定期在稻田中泼洒石灰水的作用。</w:t>
      </w:r>
    </w:p>
    <w:p>
      <w:pPr>
        <w:spacing w:line="360" w:lineRule="auto"/>
        <w:jc w:val="left"/>
        <w:textAlignment w:val="center"/>
        <w:rPr>
          <w:color w:val="000000"/>
        </w:rPr>
      </w:pPr>
      <w:r>
        <w:rPr>
          <w:color w:val="000000"/>
        </w:rPr>
        <w:t>（3）</w:t>
      </w:r>
      <w:r>
        <w:rPr>
          <w:rFonts w:ascii="宋体" w:eastAsia="宋体" w:hAnsi="宋体" w:cs="宋体"/>
          <w:color w:val="000000"/>
        </w:rPr>
        <w:t>简述河蟹养殖有利于水稻生长的土壤条件。</w:t>
      </w:r>
    </w:p>
    <w:p>
      <w:pPr>
        <w:spacing w:line="360" w:lineRule="auto"/>
        <w:jc w:val="left"/>
        <w:textAlignment w:val="center"/>
        <w:rPr>
          <w:color w:val="000000"/>
        </w:rPr>
      </w:pPr>
      <w:r>
        <w:rPr>
          <w:color w:val="000000"/>
        </w:rPr>
        <w:t xml:space="preserve">19. </w:t>
      </w:r>
      <w:r>
        <w:rPr>
          <w:rFonts w:ascii="宋体" w:eastAsia="宋体" w:hAnsi="宋体" w:cs="宋体"/>
          <w:color w:val="000000"/>
        </w:rPr>
        <w:t>阅读图文材料，完成下列要求。</w:t>
      </w:r>
    </w:p>
    <w:p>
      <w:pPr>
        <w:spacing w:line="360" w:lineRule="auto"/>
        <w:ind w:firstLine="420"/>
        <w:jc w:val="left"/>
        <w:textAlignment w:val="center"/>
        <w:rPr>
          <w:color w:val="000000"/>
        </w:rPr>
      </w:pPr>
      <w:r>
        <w:rPr>
          <w:rFonts w:ascii="楷体" w:eastAsia="楷体" w:hAnsi="楷体" w:cs="楷体"/>
          <w:color w:val="000000"/>
        </w:rPr>
        <w:t>新加坡是东南亚人口密度最大、经济最发达的国家。除新加坡外，中南半岛各国的路网密度普遍较低。泛亚铁路共包括3条线路——东线、中线、西线，起点和终点都是昆明和新加坡，如下左图所示。泛亚铁路开通后，中南半岛的平均区位优势度大幅提高，其中新加坡、缅甸、越南和西马来西亚的区位优势度提高幅度均超过150%。右上图是中南半岛区位优势度统计特征，右下图示意中南半岛地形分布。</w:t>
      </w:r>
    </w:p>
    <w:p>
      <w:pPr>
        <w:spacing w:line="360" w:lineRule="auto"/>
        <w:jc w:val="left"/>
        <w:textAlignment w:val="center"/>
        <w:rPr>
          <w:color w:val="000000"/>
        </w:rPr>
      </w:pPr>
      <w:r>
        <w:rPr>
          <w:color w:val="000000"/>
        </w:rPr>
        <w:drawing>
          <wp:inline>
            <wp:extent cx="4238625" cy="38957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6"/>
                    <a:stretch>
                      <a:fillRect/>
                    </a:stretch>
                  </pic:blipFill>
                  <pic:spPr>
                    <a:xfrm>
                      <a:off x="0" y="0"/>
                      <a:ext cx="4238625" cy="38957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与新加坡相比，说出老挝路网密度低的原因。</w:t>
      </w:r>
    </w:p>
    <w:p>
      <w:pPr>
        <w:spacing w:line="360" w:lineRule="auto"/>
        <w:jc w:val="left"/>
        <w:textAlignment w:val="center"/>
        <w:rPr>
          <w:color w:val="000000"/>
        </w:rPr>
      </w:pPr>
      <w:r>
        <w:rPr>
          <w:color w:val="000000"/>
        </w:rPr>
        <w:t>（2）</w:t>
      </w:r>
      <w:r>
        <w:rPr>
          <w:rFonts w:ascii="宋体" w:eastAsia="宋体" w:hAnsi="宋体" w:cs="宋体"/>
          <w:color w:val="000000"/>
        </w:rPr>
        <w:t>泛亚铁路开通后，新加坡、缅甸、越南和西马来西亚的区位优势度提高幅度大，简述其原因。</w:t>
      </w:r>
    </w:p>
    <w:sectPr w:rsidSect="00C321EB">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wmf"/><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9" Type="http://schemas.openxmlformats.org/officeDocument/2006/relationships/theme" Target="theme/theme1.xml"/><Relationship Id="rId2" Type="http://schemas.openxmlformats.org/officeDocument/2006/relationships/webSettings" Target="webSettings.xml"/><Relationship Id="rId20" Type="http://schemas.openxmlformats.org/officeDocument/2006/relationships/numbering" Target="numbering.xml"/><Relationship Id="rId21"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wmf"/><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