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10439400</wp:posOffset>
            </wp:positionH>
            <wp:positionV relativeFrom="topMargin">
              <wp:posOffset>12192000</wp:posOffset>
            </wp:positionV>
            <wp:extent cx="457200" cy="330200"/>
            <wp:wrapNone/>
            <wp:docPr id="1000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5"/>
                    <a:stretch>
                      <a:fillRect/>
                    </a:stretch>
                  </pic:blipFill>
                  <pic:spPr>
                    <a:xfrm>
                      <a:off x="0" y="0"/>
                      <a:ext cx="457200" cy="330200"/>
                    </a:xfrm>
                    <a:prstGeom prst="rect">
                      <a:avLst/>
                    </a:prstGeom>
                  </pic:spPr>
                </pic:pic>
              </a:graphicData>
            </a:graphic>
          </wp:anchor>
        </w:drawing>
      </w:r>
      <w:r>
        <w:rPr>
          <w:rFonts w:ascii="宋体" w:eastAsia="宋体" w:hAnsi="宋体" w:cs="宋体"/>
          <w:b/>
          <w:color w:val="auto"/>
          <w:sz w:val="32"/>
        </w:rPr>
        <w:t>地理试卷</w:t>
      </w:r>
    </w:p>
    <w:p w:rsidR="00FC5860" w:rsidRPr="00BE1BCD">
      <w:pPr>
        <w:spacing w:line="360" w:lineRule="auto"/>
        <w:jc w:val="left"/>
      </w:pPr>
      <w:r>
        <w:rPr>
          <w:rFonts w:ascii="宋体" w:eastAsia="宋体" w:hAnsi="宋体" w:cs="宋体"/>
          <w:b/>
          <w:color w:val="auto"/>
          <w:sz w:val="24"/>
        </w:rPr>
        <w:t>注意事项：</w:t>
      </w:r>
    </w:p>
    <w:p w:rsidR="00FC5860" w:rsidRPr="00BE1BCD">
      <w:pPr>
        <w:spacing w:line="360" w:lineRule="auto"/>
        <w:jc w:val="left"/>
      </w:pPr>
      <w:r>
        <w:rPr>
          <w:rFonts w:ascii="宋体" w:eastAsia="宋体" w:hAnsi="宋体" w:cs="宋体"/>
          <w:b/>
          <w:color w:val="auto"/>
          <w:sz w:val="24"/>
        </w:rPr>
        <w:t>1.答卷前，考生务必将自己的姓名、准考证号填写在答题卡上。</w:t>
      </w:r>
    </w:p>
    <w:p w:rsidR="00FC5860" w:rsidRPr="00BE1BCD">
      <w:pPr>
        <w:spacing w:line="360" w:lineRule="auto"/>
        <w:jc w:val="left"/>
      </w:pPr>
      <w:r>
        <w:rPr>
          <w:rFonts w:ascii="宋体" w:eastAsia="宋体" w:hAnsi="宋体" w:cs="宋体"/>
          <w:b/>
          <w:color w:val="auto"/>
          <w:sz w:val="24"/>
        </w:rPr>
        <w:t>2.回答选择题时，选出每小题答案后，用铅笔把答题卡上对应题目的答案标号涂黑。如需改动，用橡皮擦干净后，再选涂其他答案标号。回答非选择题时，将答案写在答题卡上，写在本试卷上无效。</w:t>
      </w:r>
    </w:p>
    <w:p w:rsidR="00FC5860" w:rsidRPr="00BE1BCD">
      <w:pPr>
        <w:spacing w:line="360" w:lineRule="auto"/>
        <w:jc w:val="left"/>
      </w:pPr>
      <w:r>
        <w:rPr>
          <w:rFonts w:ascii="宋体" w:eastAsia="宋体" w:hAnsi="宋体" w:cs="宋体"/>
          <w:b/>
          <w:color w:val="auto"/>
          <w:sz w:val="24"/>
        </w:rPr>
        <w:t>3.考试结束后，将本试卷和答题卡一并交回。</w:t>
      </w:r>
    </w:p>
    <w:p w:rsidR="00FC5860" w:rsidRPr="00BE1BCD">
      <w:pPr>
        <w:spacing w:line="360" w:lineRule="auto"/>
        <w:jc w:val="left"/>
      </w:pPr>
      <w:r>
        <w:rPr>
          <w:rFonts w:ascii="宋体" w:eastAsia="宋体" w:hAnsi="宋体" w:cs="宋体"/>
          <w:b/>
          <w:color w:val="auto"/>
          <w:sz w:val="24"/>
        </w:rPr>
        <w:t>一、选择题：本题共16小题，每小题3分，共48分。在每小题给出的四个选项中，只有一项是符合题目要求的。</w:t>
      </w:r>
    </w:p>
    <w:p w:rsidR="00FC5860" w:rsidRPr="00BE1BCD">
      <w:pPr>
        <w:spacing w:line="360" w:lineRule="auto"/>
        <w:ind w:firstLine="420"/>
        <w:jc w:val="left"/>
      </w:pPr>
      <w:r>
        <w:rPr>
          <w:rFonts w:ascii="楷体" w:eastAsia="楷体" w:hAnsi="楷体" w:cs="楷体"/>
          <w:color w:val="auto"/>
        </w:rPr>
        <w:t>面对养殖环保的规制政策、非洲猪瘟疫情与新冠疫情的三重叠加冲击，维护生猪供应链稳定运行、培育生猪供应链韧性是推动生猪产业持续健康发展的重要基础。下图是生猪供应链基本结构示意图。据此完成下面小题。</w:t>
      </w:r>
    </w:p>
    <w:p w:rsidR="00FC5860" w:rsidRPr="00BE1BCD">
      <w:pPr>
        <w:spacing w:line="360" w:lineRule="auto"/>
        <w:jc w:val="left"/>
      </w:pPr>
      <w:r w:rsidRPr="00BE1BCD">
        <w:drawing>
          <wp:inline>
            <wp:extent cx="3848100" cy="130492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3848100" cy="1304925"/>
                    </a:xfrm>
                    <a:prstGeom prst="rect">
                      <a:avLst/>
                    </a:prstGeom>
                  </pic:spPr>
                </pic:pic>
              </a:graphicData>
            </a:graphic>
          </wp:inline>
        </w:drawing>
      </w:r>
    </w:p>
    <w:p w:rsidR="00FC5860" w:rsidRPr="00BE1BCD">
      <w:pPr>
        <w:spacing w:line="360" w:lineRule="auto"/>
        <w:ind w:firstLine="420"/>
        <w:jc w:val="left"/>
      </w:pPr>
      <w:r>
        <w:rPr>
          <w:rFonts w:ascii="楷体" w:eastAsia="楷体" w:hAnsi="楷体" w:cs="楷体"/>
          <w:color w:val="auto"/>
        </w:rPr>
        <w:t>二级供应商→一级供应商→加工制造商→猪肉经销商→消费终端</w:t>
      </w:r>
    </w:p>
    <w:p>
      <w:pPr>
        <w:spacing w:line="360" w:lineRule="auto"/>
        <w:jc w:val="left"/>
        <w:textAlignment w:val="center"/>
        <w:rPr>
          <w:color w:val="auto"/>
        </w:rPr>
      </w:pPr>
      <w:r w:rsidRPr="00BE1BCD" w:rsidR="00FC5860">
        <w:t xml:space="preserve">1. </w:t>
      </w:r>
      <w:r>
        <w:rPr>
          <w:rFonts w:ascii="宋体" w:eastAsia="宋体" w:hAnsi="宋体" w:cs="宋体"/>
          <w:color w:val="auto"/>
        </w:rPr>
        <w:t>受环境规制政策冲击影响最大的是（   ）</w:t>
      </w:r>
    </w:p>
    <w:p>
      <w:pPr>
        <w:tabs>
          <w:tab w:val="left" w:pos="2436"/>
          <w:tab w:val="left" w:pos="4873"/>
          <w:tab w:val="left" w:pos="7309"/>
        </w:tabs>
        <w:spacing w:line="360" w:lineRule="auto"/>
        <w:jc w:val="left"/>
        <w:textAlignment w:val="center"/>
        <w:rPr>
          <w:color w:val="auto"/>
        </w:rPr>
      </w:pPr>
      <w:r w:rsidRPr="00BE1BCD" w:rsidR="00FC5860">
        <w:t xml:space="preserve">A. </w:t>
      </w:r>
      <w:r>
        <w:rPr>
          <w:rFonts w:ascii="宋体" w:eastAsia="宋体" w:hAnsi="宋体" w:cs="宋体"/>
          <w:color w:val="auto"/>
        </w:rPr>
        <w:t>二级供应商</w:t>
      </w:r>
      <w:r w:rsidRPr="00BE1BCD" w:rsidR="00FC5860">
        <w:tab/>
      </w:r>
      <w:r w:rsidRPr="00BE1BCD" w:rsidR="00FC5860">
        <w:t xml:space="preserve">B. </w:t>
      </w:r>
      <w:r>
        <w:rPr>
          <w:rFonts w:ascii="宋体" w:eastAsia="宋体" w:hAnsi="宋体" w:cs="宋体"/>
          <w:color w:val="auto"/>
        </w:rPr>
        <w:t>一级供应商</w:t>
      </w:r>
      <w:r w:rsidRPr="00BE1BCD" w:rsidR="00FC5860">
        <w:tab/>
      </w:r>
      <w:r w:rsidRPr="00BE1BCD" w:rsidR="00FC5860">
        <w:t xml:space="preserve">C. </w:t>
      </w:r>
      <w:r>
        <w:rPr>
          <w:rFonts w:ascii="宋体" w:eastAsia="宋体" w:hAnsi="宋体" w:cs="宋体"/>
          <w:color w:val="auto"/>
        </w:rPr>
        <w:t>加工制造商</w:t>
      </w:r>
      <w:r w:rsidRPr="00BE1BCD" w:rsidR="00FC5860">
        <w:tab/>
      </w:r>
      <w:r w:rsidRPr="00BE1BCD" w:rsidR="00FC5860">
        <w:t xml:space="preserve">D. </w:t>
      </w:r>
      <w:r>
        <w:rPr>
          <w:rFonts w:ascii="宋体" w:eastAsia="宋体" w:hAnsi="宋体" w:cs="宋体"/>
          <w:color w:val="auto"/>
        </w:rPr>
        <w:t>猪肉经销商</w:t>
      </w:r>
    </w:p>
    <w:p>
      <w:pPr>
        <w:spacing w:line="360" w:lineRule="auto"/>
        <w:jc w:val="left"/>
        <w:textAlignment w:val="center"/>
        <w:rPr>
          <w:color w:val="auto"/>
        </w:rPr>
      </w:pPr>
      <w:r w:rsidRPr="00BE1BCD" w:rsidR="00FC5860">
        <w:t xml:space="preserve">2. </w:t>
      </w:r>
      <w:r>
        <w:rPr>
          <w:rFonts w:ascii="宋体" w:eastAsia="宋体" w:hAnsi="宋体" w:cs="宋体"/>
          <w:color w:val="auto"/>
        </w:rPr>
        <w:t>受非洲猪瘟疫情影响，我国（   ）</w:t>
      </w:r>
    </w:p>
    <w:p>
      <w:pPr>
        <w:tabs>
          <w:tab w:val="left" w:pos="2436"/>
          <w:tab w:val="left" w:pos="4873"/>
          <w:tab w:val="left" w:pos="7309"/>
        </w:tabs>
        <w:spacing w:line="360" w:lineRule="auto"/>
        <w:jc w:val="left"/>
        <w:textAlignment w:val="center"/>
        <w:rPr>
          <w:color w:val="000000"/>
        </w:rPr>
      </w:pPr>
      <w:r w:rsidRPr="00BE1BCD" w:rsidR="00FC5860">
        <w:t xml:space="preserve">A. </w:t>
      </w:r>
      <w:r>
        <w:rPr>
          <w:rFonts w:ascii="宋体" w:eastAsia="宋体" w:hAnsi="宋体" w:cs="宋体"/>
          <w:color w:val="auto"/>
        </w:rPr>
        <w:t>猪肉需求上升</w:t>
      </w:r>
      <w:r w:rsidRPr="00BE1BCD" w:rsidR="00FC5860">
        <w:tab/>
      </w:r>
      <w:r w:rsidRPr="00BE1BCD" w:rsidR="00FC5860">
        <w:t xml:space="preserve">B. </w:t>
      </w:r>
      <w:r>
        <w:rPr>
          <w:rFonts w:ascii="宋体" w:eastAsia="宋体" w:hAnsi="宋体" w:cs="宋体"/>
          <w:color w:val="auto"/>
        </w:rPr>
        <w:t>牛羊肉需求下降</w:t>
      </w:r>
      <w:r w:rsidRPr="00BE1BCD" w:rsidR="00FC5860">
        <w:tab/>
      </w:r>
      <w:r w:rsidRPr="00BE1BCD" w:rsidR="00FC5860">
        <w:t xml:space="preserve">C. </w:t>
      </w:r>
      <w:r>
        <w:rPr>
          <w:rFonts w:ascii="宋体" w:eastAsia="宋体" w:hAnsi="宋体" w:cs="宋体"/>
          <w:color w:val="auto"/>
        </w:rPr>
        <w:t>生猪养殖成本增加</w:t>
      </w:r>
      <w:r w:rsidRPr="00BE1BCD" w:rsidR="00FC5860">
        <w:tab/>
      </w:r>
      <w:r w:rsidRPr="00BE1BCD" w:rsidR="00FC5860">
        <w:t xml:space="preserve">D. </w:t>
      </w:r>
      <w:r>
        <w:rPr>
          <w:rFonts w:ascii="宋体" w:eastAsia="宋体" w:hAnsi="宋体" w:cs="宋体"/>
          <w:color w:val="auto"/>
        </w:rPr>
        <w:t>活猪调运量增加</w:t>
      </w:r>
    </w:p>
    <w:p>
      <w:pPr>
        <w:spacing w:line="360" w:lineRule="auto"/>
        <w:textAlignment w:val="center"/>
        <w:rPr>
          <w:color w:val="000000"/>
        </w:rPr>
      </w:pPr>
      <w:r>
        <w:rPr>
          <w:color w:val="2E75B6"/>
        </w:rPr>
        <w:t>【答案】</w:t>
      </w:r>
      <w:r>
        <w:rPr>
          <w:color w:val="000000"/>
        </w:rPr>
        <w:t xml:space="preserve">1. </w:t>
      </w:r>
      <w:r>
        <w:rPr>
          <w:color w:val="000000"/>
        </w:rPr>
        <w:t>B</w:t>
      </w:r>
      <w:r>
        <w:rPr>
          <w:color w:val="000000"/>
        </w:rPr>
        <w:t xml:space="preserve">    </w:t>
      </w:r>
      <w:r>
        <w:rPr>
          <w:color w:val="000000"/>
        </w:rPr>
        <w:t xml:space="preserve">2. </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【1题详解】</w:t>
      </w:r>
    </w:p>
    <w:p>
      <w:pPr>
        <w:spacing w:line="360" w:lineRule="auto"/>
        <w:jc w:val="left"/>
        <w:textAlignment w:val="center"/>
        <w:rPr>
          <w:color w:val="000000"/>
        </w:rPr>
      </w:pPr>
      <w:r>
        <w:rPr>
          <w:rFonts w:ascii="宋体" w:eastAsia="宋体" w:hAnsi="宋体" w:cs="宋体"/>
          <w:color w:val="000000"/>
        </w:rPr>
        <w:t>生猪养殖过程中产生大量废气、污水和粪便等污染物，影响生态环境质量，因此受环境规制政策冲击影响最大的是养殖主体，即一级供应商，B正确；二级供应商、加工制造商、猪肉经销商对环境影响较小，受环境规制政策冲击小，ACD错误。故选B。</w:t>
      </w:r>
    </w:p>
    <w:p>
      <w:pPr>
        <w:spacing w:line="360" w:lineRule="auto"/>
        <w:jc w:val="left"/>
        <w:textAlignment w:val="center"/>
        <w:rPr>
          <w:color w:val="000000"/>
        </w:rPr>
      </w:pPr>
      <w:r>
        <w:rPr>
          <w:color w:val="000000"/>
        </w:rPr>
        <w:t>【2题详解】</w:t>
      </w:r>
    </w:p>
    <w:p>
      <w:pPr>
        <w:spacing w:line="360" w:lineRule="auto"/>
        <w:jc w:val="left"/>
        <w:textAlignment w:val="center"/>
        <w:rPr>
          <w:color w:val="000000"/>
        </w:rPr>
      </w:pPr>
      <w:r>
        <w:rPr>
          <w:rFonts w:ascii="宋体" w:eastAsia="宋体" w:hAnsi="宋体" w:cs="宋体"/>
          <w:color w:val="000000"/>
        </w:rPr>
        <w:t>猪瘟疫情初期消费者恐慌，猪肉需求下降，A错误；受非洲猪瘟影响，我国猪肉产能大幅下降，猪肉供应减少，猪肉消费减少的部分转为消费牛羊肉及鸡肉，牛羊肉需求增加，B错误；非洲猪瘟爆发后，由于疫病防控需要，生物安全方面（如消毒剂、疫苗等）的生产成本大大增加，从而增加了养殖成本，C正确；活猪跨区调运量大，长途调运易引起疫情扩散，为减小影响，实现生猪主产区就地屠宰，推动从运活猪到运肉品的转变，活猪调运量减少，猪肉调运量增加，D错误。故选C。</w:t>
      </w:r>
    </w:p>
    <w:p>
      <w:pPr>
        <w:spacing w:line="360" w:lineRule="auto"/>
        <w:jc w:val="left"/>
        <w:textAlignment w:val="center"/>
        <w:rPr>
          <w:color w:val="000000"/>
        </w:rPr>
      </w:pPr>
      <w:r>
        <w:rPr>
          <w:color w:val="000000"/>
        </w:rPr>
        <w:t>【点睛】</w:t>
      </w:r>
      <w:r>
        <w:rPr>
          <w:color w:val="000000"/>
        </w:rPr>
        <w:t>一般说来，价格上涨，需求量减少；价格下降，需求量增加。价格与需求量之间呈反方向变动。</w:t>
      </w:r>
    </w:p>
    <w:p>
      <w:pPr>
        <w:spacing w:line="360" w:lineRule="auto"/>
        <w:ind w:firstLine="420"/>
        <w:jc w:val="left"/>
        <w:textAlignment w:val="center"/>
        <w:rPr>
          <w:color w:val="000000"/>
        </w:rPr>
      </w:pPr>
      <w:r>
        <w:rPr>
          <w:rFonts w:ascii="楷体" w:eastAsia="楷体" w:hAnsi="楷体" w:cs="楷体"/>
          <w:color w:val="000000"/>
        </w:rPr>
        <w:t>老年人口的余寿是指60岁老年人的平均预期寿命；老年人口的工作余寿是指60岁老年人的工作预期寿命。根据老年人口的余寿与工作余寿长短差异，可以把农村老年人口的工作余寿拓展模式分为“安逸型”“劳逸结合型”“高负担型”“低负担型”“限制型”等5种类型，所属类型与老年人的生活水平、劳动意愿、劳动能力和劳动条件紧密相关。下表是31个省区农村老年人口工作余寿拓展模式。据此完成下面小题。</w:t>
      </w:r>
    </w:p>
    <w:tbl>
      <w:tblPr>
        <w:tblStyle w:val="TableNormal"/>
        <w:tblW w:w="6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776"/>
        <w:gridCol w:w="4477"/>
        <w:gridCol w:w="4477"/>
      </w:tblGrid>
      <w:tr>
        <w:tblPrEx>
          <w:tblW w:w="6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675"/>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类型</w:t>
            </w:r>
          </w:p>
        </w:tc>
        <w:tc>
          <w:tcPr>
            <w:tcW w:w="23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男性</w:t>
            </w:r>
          </w:p>
        </w:tc>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女性</w:t>
            </w:r>
          </w:p>
        </w:tc>
      </w:tr>
      <w:tr>
        <w:tblPrEx>
          <w:tblW w:w="6015" w:type="dxa"/>
          <w:tblCellMar>
            <w:top w:w="120" w:type="dxa"/>
            <w:left w:w="120" w:type="dxa"/>
            <w:bottom w:w="120" w:type="dxa"/>
            <w:right w:w="120" w:type="dxa"/>
          </w:tblCellMar>
        </w:tblPrEx>
        <w:trPr>
          <w:cantSplit w:val="0"/>
          <w:trHeight w:val="675"/>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安逸型</w:t>
            </w:r>
          </w:p>
        </w:tc>
        <w:tc>
          <w:tcPr>
            <w:tcW w:w="23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上海、北京</w:t>
            </w:r>
          </w:p>
        </w:tc>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上海、北京、天津、广东</w:t>
            </w:r>
          </w:p>
        </w:tc>
      </w:tr>
      <w:tr>
        <w:tblPrEx>
          <w:tblW w:w="6015" w:type="dxa"/>
          <w:tblCellMar>
            <w:top w:w="120" w:type="dxa"/>
            <w:left w:w="120" w:type="dxa"/>
            <w:bottom w:w="120" w:type="dxa"/>
            <w:right w:w="120" w:type="dxa"/>
          </w:tblCellMar>
        </w:tblPrEx>
        <w:trPr>
          <w:cantSplit w:val="0"/>
          <w:trHeight w:val="675"/>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劳逸结合型</w:t>
            </w:r>
          </w:p>
        </w:tc>
        <w:tc>
          <w:tcPr>
            <w:tcW w:w="23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广东、天津、黑龙江、陕西、山西、浙江、江苏</w:t>
            </w:r>
          </w:p>
        </w:tc>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山西、海南、黑龙江、浙江、陕西、河北、江苏</w:t>
            </w:r>
          </w:p>
        </w:tc>
      </w:tr>
      <w:tr>
        <w:tblPrEx>
          <w:tblW w:w="6015" w:type="dxa"/>
          <w:tblCellMar>
            <w:top w:w="120" w:type="dxa"/>
            <w:left w:w="120" w:type="dxa"/>
            <w:bottom w:w="120" w:type="dxa"/>
            <w:right w:w="120" w:type="dxa"/>
          </w:tblCellMar>
        </w:tblPrEx>
        <w:trPr>
          <w:cantSplit w:val="0"/>
          <w:trHeight w:val="675"/>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高负担型</w:t>
            </w:r>
          </w:p>
        </w:tc>
        <w:tc>
          <w:tcPr>
            <w:tcW w:w="23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云南、辽宁、河北、吉林、重庆、福建、江西、河南、安徽、湖北、山东、四川</w:t>
            </w:r>
          </w:p>
        </w:tc>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吉林、辽宁、江西、福建、广西、安徽、河南、山东、云南、湖北、重庆、四川</w:t>
            </w:r>
          </w:p>
        </w:tc>
      </w:tr>
      <w:tr>
        <w:tblPrEx>
          <w:tblW w:w="6015" w:type="dxa"/>
          <w:tblCellMar>
            <w:top w:w="120" w:type="dxa"/>
            <w:left w:w="120" w:type="dxa"/>
            <w:bottom w:w="120" w:type="dxa"/>
            <w:right w:w="120" w:type="dxa"/>
          </w:tblCellMar>
        </w:tblPrEx>
        <w:trPr>
          <w:cantSplit w:val="0"/>
          <w:trHeight w:val="645"/>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低负担型</w:t>
            </w:r>
          </w:p>
        </w:tc>
        <w:tc>
          <w:tcPr>
            <w:tcW w:w="23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海南、甘肃、宁夏、内蒙古、新疆、贵州、湖南、广西</w:t>
            </w:r>
          </w:p>
        </w:tc>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宁夏、甘肃、内蒙古、新疆、湖南、贵州</w:t>
            </w:r>
          </w:p>
        </w:tc>
      </w:tr>
      <w:tr>
        <w:tblPrEx>
          <w:tblW w:w="6015" w:type="dxa"/>
          <w:tblCellMar>
            <w:top w:w="120" w:type="dxa"/>
            <w:left w:w="120" w:type="dxa"/>
            <w:bottom w:w="120" w:type="dxa"/>
            <w:right w:w="120" w:type="dxa"/>
          </w:tblCellMar>
        </w:tblPrEx>
        <w:trPr>
          <w:cantSplit w:val="0"/>
          <w:trHeight w:val="375"/>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限制型</w:t>
            </w:r>
          </w:p>
        </w:tc>
        <w:tc>
          <w:tcPr>
            <w:tcW w:w="23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西藏、青海</w:t>
            </w:r>
          </w:p>
        </w:tc>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青海、西藏</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 xml:space="preserve">3. </w:t>
      </w:r>
      <w:r>
        <w:rPr>
          <w:rFonts w:ascii="宋体" w:eastAsia="宋体" w:hAnsi="宋体" w:cs="宋体"/>
          <w:color w:val="000000"/>
        </w:rPr>
        <w:t>“安逸型”（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余寿长、工作余寿短</w:t>
      </w:r>
      <w:r>
        <w:rPr>
          <w:color w:val="000000"/>
        </w:rPr>
        <w:tab/>
      </w:r>
      <w:r>
        <w:rPr>
          <w:color w:val="000000"/>
        </w:rPr>
        <w:t xml:space="preserve">B. </w:t>
      </w:r>
      <w:r>
        <w:rPr>
          <w:rFonts w:ascii="宋体" w:eastAsia="宋体" w:hAnsi="宋体" w:cs="宋体"/>
          <w:color w:val="000000"/>
        </w:rPr>
        <w:t>余寿短、工作余寿长</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余寿与工作余寿均短</w:t>
      </w:r>
      <w:r>
        <w:rPr>
          <w:color w:val="000000"/>
        </w:rPr>
        <w:tab/>
      </w:r>
      <w:r>
        <w:rPr>
          <w:color w:val="000000"/>
        </w:rPr>
        <w:t xml:space="preserve">D. </w:t>
      </w:r>
      <w:r>
        <w:rPr>
          <w:rFonts w:ascii="宋体" w:eastAsia="宋体" w:hAnsi="宋体" w:cs="宋体"/>
          <w:color w:val="000000"/>
        </w:rPr>
        <w:t>余寿与工作余寿均长</w:t>
      </w:r>
    </w:p>
    <w:p>
      <w:pPr>
        <w:spacing w:line="360" w:lineRule="auto"/>
        <w:jc w:val="left"/>
        <w:textAlignment w:val="center"/>
        <w:rPr>
          <w:color w:val="000000"/>
        </w:rPr>
      </w:pPr>
      <w:r>
        <w:rPr>
          <w:color w:val="000000"/>
        </w:rPr>
        <w:t xml:space="preserve">4. </w:t>
      </w:r>
      <w:r>
        <w:rPr>
          <w:rFonts w:ascii="宋体" w:eastAsia="宋体" w:hAnsi="宋体" w:cs="宋体"/>
          <w:color w:val="000000"/>
        </w:rPr>
        <w:t>“高负担型”（   ）</w:t>
      </w:r>
    </w:p>
    <w:p>
      <w:pPr>
        <w:spacing w:line="360" w:lineRule="auto"/>
        <w:jc w:val="left"/>
        <w:textAlignment w:val="center"/>
        <w:rPr>
          <w:color w:val="000000"/>
        </w:rPr>
      </w:pPr>
      <w:r>
        <w:rPr>
          <w:color w:val="000000"/>
        </w:rPr>
        <w:t xml:space="preserve">A. </w:t>
      </w:r>
      <w:r>
        <w:rPr>
          <w:rFonts w:ascii="宋体" w:eastAsia="宋体" w:hAnsi="宋体" w:cs="宋体"/>
          <w:color w:val="000000"/>
        </w:rPr>
        <w:t>养老储备充足，老年人较早结束劳动生涯</w:t>
      </w:r>
    </w:p>
    <w:p>
      <w:pPr>
        <w:spacing w:line="360" w:lineRule="auto"/>
        <w:jc w:val="left"/>
        <w:textAlignment w:val="center"/>
        <w:rPr>
          <w:color w:val="000000"/>
        </w:rPr>
      </w:pPr>
      <w:r>
        <w:rPr>
          <w:color w:val="000000"/>
        </w:rPr>
        <w:t xml:space="preserve">B. </w:t>
      </w:r>
      <w:r>
        <w:rPr>
          <w:rFonts w:ascii="宋体" w:eastAsia="宋体" w:hAnsi="宋体" w:cs="宋体"/>
          <w:color w:val="000000"/>
        </w:rPr>
        <w:t>农业劳动力需求旺盛，老年人被动延长劳动生涯</w:t>
      </w:r>
    </w:p>
    <w:p>
      <w:pPr>
        <w:spacing w:line="360" w:lineRule="auto"/>
        <w:jc w:val="left"/>
        <w:textAlignment w:val="center"/>
        <w:rPr>
          <w:color w:val="000000"/>
        </w:rPr>
      </w:pPr>
      <w:r>
        <w:rPr>
          <w:color w:val="000000"/>
        </w:rPr>
        <w:t xml:space="preserve">C. </w:t>
      </w:r>
      <w:r>
        <w:rPr>
          <w:rFonts w:ascii="宋体" w:eastAsia="宋体" w:hAnsi="宋体" w:cs="宋体"/>
          <w:color w:val="000000"/>
        </w:rPr>
        <w:t>非农就业渠道灵活，老年人有选择地创造劳动价值</w:t>
      </w:r>
    </w:p>
    <w:p>
      <w:pPr>
        <w:spacing w:line="360" w:lineRule="auto"/>
        <w:jc w:val="left"/>
        <w:textAlignment w:val="center"/>
        <w:rPr>
          <w:color w:val="000000"/>
        </w:rPr>
      </w:pPr>
      <w:r>
        <w:rPr>
          <w:color w:val="000000"/>
        </w:rPr>
        <w:t xml:space="preserve">D. </w:t>
      </w:r>
      <w:r>
        <w:rPr>
          <w:rFonts w:ascii="宋体" w:eastAsia="宋体" w:hAnsi="宋体" w:cs="宋体"/>
          <w:color w:val="000000"/>
        </w:rPr>
        <w:t>农业生产方式粗放，老年人更早地退出劳动者行列</w:t>
      </w:r>
    </w:p>
    <w:p>
      <w:pPr>
        <w:spacing w:line="360" w:lineRule="auto"/>
        <w:jc w:val="left"/>
        <w:textAlignment w:val="center"/>
        <w:rPr>
          <w:color w:val="000000"/>
        </w:rPr>
      </w:pPr>
      <w:r>
        <w:rPr>
          <w:color w:val="000000"/>
        </w:rPr>
        <w:t xml:space="preserve">5. </w:t>
      </w:r>
      <w:r>
        <w:rPr>
          <w:rFonts w:ascii="宋体" w:eastAsia="宋体" w:hAnsi="宋体" w:cs="宋体"/>
          <w:color w:val="000000"/>
        </w:rPr>
        <w:t>“限制型”老年人口的余寿和工作余寿均最短，影响其主要的自然因素是（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地形</w:t>
      </w:r>
      <w:r>
        <w:rPr>
          <w:color w:val="000000"/>
        </w:rPr>
        <w:tab/>
      </w:r>
      <w:r>
        <w:rPr>
          <w:color w:val="000000"/>
        </w:rPr>
        <w:t xml:space="preserve">B. </w:t>
      </w:r>
      <w:r>
        <w:rPr>
          <w:rFonts w:ascii="宋体" w:eastAsia="宋体" w:hAnsi="宋体" w:cs="宋体"/>
          <w:color w:val="000000"/>
        </w:rPr>
        <w:t>水文</w:t>
      </w:r>
      <w:r>
        <w:rPr>
          <w:color w:val="000000"/>
        </w:rPr>
        <w:tab/>
      </w:r>
      <w:r>
        <w:rPr>
          <w:color w:val="000000"/>
        </w:rPr>
        <w:t xml:space="preserve">C. </w:t>
      </w:r>
      <w:r>
        <w:rPr>
          <w:rFonts w:ascii="宋体" w:eastAsia="宋体" w:hAnsi="宋体" w:cs="宋体"/>
          <w:color w:val="000000"/>
        </w:rPr>
        <w:t>土壤</w:t>
      </w:r>
      <w:r>
        <w:rPr>
          <w:color w:val="000000"/>
        </w:rPr>
        <w:tab/>
      </w:r>
      <w:r>
        <w:rPr>
          <w:color w:val="000000"/>
        </w:rPr>
        <w:t xml:space="preserve">D. </w:t>
      </w:r>
      <w:r>
        <w:rPr>
          <w:rFonts w:ascii="宋体" w:eastAsia="宋体" w:hAnsi="宋体" w:cs="宋体"/>
          <w:color w:val="000000"/>
        </w:rPr>
        <w:t>光照</w:t>
      </w:r>
    </w:p>
    <w:p>
      <w:pPr>
        <w:spacing w:line="360" w:lineRule="auto"/>
        <w:textAlignment w:val="center"/>
        <w:rPr>
          <w:color w:val="000000"/>
        </w:rPr>
      </w:pPr>
      <w:r>
        <w:rPr>
          <w:color w:val="2E75B6"/>
        </w:rPr>
        <w:t>【答案】</w:t>
      </w:r>
      <w:r>
        <w:rPr>
          <w:color w:val="000000"/>
        </w:rPr>
        <w:t xml:space="preserve">3. </w:t>
      </w:r>
      <w:r>
        <w:rPr>
          <w:color w:val="000000"/>
        </w:rPr>
        <w:t>A</w:t>
      </w:r>
      <w:r>
        <w:rPr>
          <w:color w:val="000000"/>
        </w:rPr>
        <w:t xml:space="preserve">    </w:t>
      </w:r>
      <w:r>
        <w:rPr>
          <w:color w:val="000000"/>
        </w:rPr>
        <w:t xml:space="preserve">4. </w:t>
      </w:r>
      <w:r>
        <w:rPr>
          <w:color w:val="000000"/>
        </w:rPr>
        <w:t>B</w:t>
      </w:r>
      <w:r>
        <w:rPr>
          <w:color w:val="000000"/>
        </w:rPr>
        <w:t xml:space="preserve">    </w:t>
      </w:r>
      <w:r>
        <w:rPr>
          <w:color w:val="000000"/>
        </w:rPr>
        <w:t xml:space="preserve">5. </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p>
    <w:p>
      <w:pPr>
        <w:spacing w:line="360" w:lineRule="auto"/>
        <w:jc w:val="left"/>
        <w:textAlignment w:val="center"/>
        <w:rPr>
          <w:color w:val="000000"/>
        </w:rPr>
      </w:pPr>
      <w:r>
        <w:rPr>
          <w:color w:val="000000"/>
          <w:position w:val="0"/>
        </w:rPr>
        <w:drawing>
          <wp:inline>
            <wp:extent cx="95250" cy="171450"/>
            <wp:docPr id="1000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7"/>
                    <a:stretch>
                      <a:fillRect/>
                    </a:stretch>
                  </pic:blipFill>
                  <pic:spPr>
                    <a:xfrm>
                      <a:off x="0" y="0"/>
                      <a:ext cx="95250" cy="171450"/>
                    </a:xfrm>
                    <a:prstGeom prst="rect">
                      <a:avLst/>
                    </a:prstGeom>
                  </pic:spPr>
                </pic:pic>
              </a:graphicData>
            </a:graphic>
          </wp:inline>
        </w:drawing>
      </w:r>
      <w:r>
        <w:rPr>
          <w:color w:val="000000"/>
        </w:rPr>
        <w:t>3题详解】</w:t>
      </w:r>
    </w:p>
    <w:p>
      <w:pPr>
        <w:spacing w:line="360" w:lineRule="auto"/>
        <w:jc w:val="left"/>
        <w:textAlignment w:val="center"/>
        <w:rPr>
          <w:color w:val="000000"/>
        </w:rPr>
      </w:pPr>
      <w:r>
        <w:rPr>
          <w:color w:val="000000"/>
        </w:rPr>
        <w:t>北京和上海属于“安逸型”，这里经济高度发达，农村老年人口的经济收入和保障水平位居全国前列，医疗卫生条件优越，老年人口的健康状况具有明显优势，老年人口的余寿最长；由于养老储备充足、具备安享晚年的条件，北京、上海的农村老年人会选择较早结束劳动生涯，老年人口的工作余寿很短，A正确，BCD错误。故选A。</w:t>
      </w:r>
    </w:p>
    <w:p>
      <w:pPr>
        <w:spacing w:line="360" w:lineRule="auto"/>
        <w:jc w:val="left"/>
        <w:textAlignment w:val="center"/>
        <w:rPr>
          <w:color w:val="000000"/>
        </w:rPr>
      </w:pPr>
      <w:r>
        <w:rPr>
          <w:color w:val="000000"/>
        </w:rPr>
        <w:t>【4题详解】</w:t>
      </w:r>
    </w:p>
    <w:p>
      <w:pPr>
        <w:spacing w:line="360" w:lineRule="auto"/>
        <w:jc w:val="left"/>
        <w:textAlignment w:val="center"/>
        <w:rPr>
          <w:color w:val="000000"/>
        </w:rPr>
      </w:pPr>
      <w:r>
        <w:rPr>
          <w:color w:val="000000"/>
        </w:rPr>
        <w:t xml:space="preserve"> 北京和上海等地养老储备充足，老年人较早结束劳动生涯，属于“安逸型”，A错误。河南、河北、山东、安徽、江西、湖北、辽宁、吉林、重庆、四川等省区位于华北平原、长江中下游平原、东北平原、四川盆地等重要种植业产区，多为典型的农业大省，对农业劳动力的需求旺盛，农业生产的机械化水平高，对劳动者体能的要求较低，这些省份还是人口流出大省，年轻劳动力大规模流向城镇地区和非农产业区，中老年人成为农业生产的主要力量，属于“高负担型”，B正确。广东、天津、黑龙江、陕西、山西、浙江、江苏等省区非农就业渠道灵活，老年人有选择地创造劳动价值，属于“劳逸结合型”，C错误。宁夏、甘肃、内蒙古、新疆、湖南、贵州等省区农业生产方式粗放，老年人更早地退出劳动者行列，属于“低负担型”，D错误。故选B。</w:t>
      </w:r>
    </w:p>
    <w:p>
      <w:pPr>
        <w:spacing w:line="360" w:lineRule="auto"/>
        <w:jc w:val="left"/>
        <w:textAlignment w:val="center"/>
        <w:rPr>
          <w:color w:val="000000"/>
        </w:rPr>
      </w:pPr>
      <w:r>
        <w:rPr>
          <w:color w:val="000000"/>
        </w:rPr>
        <w:t>【5题详解】</w:t>
      </w:r>
    </w:p>
    <w:p>
      <w:pPr>
        <w:spacing w:line="360" w:lineRule="auto"/>
        <w:jc w:val="left"/>
        <w:textAlignment w:val="center"/>
        <w:rPr>
          <w:color w:val="000000"/>
        </w:rPr>
      </w:pPr>
      <w:r>
        <w:rPr>
          <w:color w:val="000000"/>
        </w:rPr>
        <w:t xml:space="preserve"> “限制型”模式的西藏和青海位于地形地貌复杂的高原地区，经济发展水平落后，医疗卫生条件较差，农村老年人口的经济状况和健康状况更为脆弱，其余寿短。这类地区第二、三产业发展落后，而崎岖的地形和贫瘠的土地也限制了农牧业产业规模的扩大和机械化水平的提升，且农牧业劳动对体能的要求更高，其工作余寿也短。因此，较差的健康状况和艰苦的劳动生产条件限制了农村老年人口工作余寿的拓展，其影响的主要自然因素是复杂的地形地貌，A正确；水文、土壤、光照对老年人口的余寿和工作余寿均影响不大，B、C、D错误。故选A。</w:t>
      </w:r>
    </w:p>
    <w:p>
      <w:pPr>
        <w:spacing w:line="360" w:lineRule="auto"/>
        <w:jc w:val="left"/>
        <w:textAlignment w:val="center"/>
        <w:rPr>
          <w:color w:val="000000"/>
        </w:rPr>
      </w:pPr>
      <w:r>
        <w:rPr>
          <w:color w:val="000000"/>
        </w:rPr>
        <w:t>【点睛】</w:t>
      </w:r>
      <w:r>
        <w:rPr>
          <w:color w:val="000000"/>
        </w:rPr>
        <w:t>在农村劳动力转移的影响下，年轻人为了养家糊口维持基本的生活都前往经济发达的大城市打工挣钱，留下一些劳作能力较弱的老人在村里进行简单的土地劳作，人口老龄化已是普遍现象也是国家将面临人口结构变化带来的重重挑战。</w:t>
      </w:r>
    </w:p>
    <w:p>
      <w:pPr>
        <w:spacing w:line="360" w:lineRule="auto"/>
        <w:ind w:firstLine="420"/>
        <w:jc w:val="left"/>
        <w:textAlignment w:val="center"/>
        <w:rPr>
          <w:color w:val="000000"/>
        </w:rPr>
      </w:pPr>
      <w:r>
        <w:rPr>
          <w:rFonts w:ascii="楷体" w:eastAsia="楷体" w:hAnsi="楷体" w:cs="楷体"/>
          <w:color w:val="000000"/>
        </w:rPr>
        <w:t>以高质量发展为主题的新型城镇化包含经济城镇化、社会城镇化、空间城镇化、生态城镇化、人口城镇化等5个子系统，其中社会城镇化主要通过每一高校教师负担学生数、每千人拥有医生数等指标体现；生态城镇化主要通过建成区绿化覆盖率、污水处理率等指标体现。下图示意乌鲁木齐市新型城镇化综合指数及各子系统指数。据此完成下面小题。</w:t>
      </w:r>
    </w:p>
    <w:p>
      <w:pPr>
        <w:spacing w:line="360" w:lineRule="auto"/>
        <w:jc w:val="left"/>
        <w:textAlignment w:val="center"/>
        <w:rPr>
          <w:color w:val="000000"/>
        </w:rPr>
      </w:pPr>
      <w:r>
        <w:rPr>
          <w:color w:val="000000"/>
        </w:rPr>
        <w:drawing>
          <wp:inline>
            <wp:extent cx="3448050" cy="157162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8"/>
                    <a:stretch>
                      <a:fillRect/>
                    </a:stretch>
                  </pic:blipFill>
                  <pic:spPr>
                    <a:xfrm>
                      <a:off x="0" y="0"/>
                      <a:ext cx="3448050" cy="1571625"/>
                    </a:xfrm>
                    <a:prstGeom prst="rect">
                      <a:avLst/>
                    </a:prstGeom>
                  </pic:spPr>
                </pic:pic>
              </a:graphicData>
            </a:graphic>
          </wp:inline>
        </w:drawing>
      </w:r>
    </w:p>
    <w:p>
      <w:pPr>
        <w:spacing w:line="360" w:lineRule="auto"/>
        <w:jc w:val="left"/>
        <w:textAlignment w:val="center"/>
        <w:rPr>
          <w:color w:val="000000"/>
        </w:rPr>
      </w:pPr>
      <w:r>
        <w:rPr>
          <w:color w:val="000000"/>
        </w:rPr>
        <w:t>6</w:t>
      </w:r>
      <w:r>
        <w:rPr>
          <w:color w:val="000000"/>
          <w:position w:val="-22"/>
        </w:rPr>
        <w:drawing>
          <wp:inline>
            <wp:extent cx="31750" cy="88900"/>
            <wp:docPr id="1000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9"/>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乌鲁木齐（   ）</w:t>
      </w:r>
    </w:p>
    <w:p>
      <w:pPr>
        <w:spacing w:line="360" w:lineRule="auto"/>
        <w:jc w:val="left"/>
        <w:textAlignment w:val="center"/>
        <w:rPr>
          <w:color w:val="000000"/>
        </w:rPr>
      </w:pPr>
      <w:r>
        <w:rPr>
          <w:rFonts w:ascii="宋体" w:eastAsia="宋体" w:hAnsi="宋体" w:cs="宋体"/>
          <w:color w:val="000000"/>
        </w:rPr>
        <w:t>①二三产业得到较快发展，2013年经济城镇化指数达极大值</w:t>
      </w:r>
    </w:p>
    <w:p>
      <w:pPr>
        <w:spacing w:line="360" w:lineRule="auto"/>
        <w:jc w:val="left"/>
        <w:textAlignment w:val="center"/>
        <w:rPr>
          <w:color w:val="000000"/>
        </w:rPr>
      </w:pPr>
      <w:r>
        <w:rPr>
          <w:rFonts w:ascii="宋体" w:eastAsia="宋体" w:hAnsi="宋体" w:cs="宋体"/>
          <w:color w:val="000000"/>
        </w:rPr>
        <w:t>②城乡收入差距不断缩小，2016年人口城镇化指数达极大值</w:t>
      </w:r>
    </w:p>
    <w:p>
      <w:pPr>
        <w:spacing w:line="360" w:lineRule="auto"/>
        <w:jc w:val="left"/>
        <w:textAlignment w:val="center"/>
        <w:rPr>
          <w:color w:val="000000"/>
        </w:rPr>
      </w:pPr>
      <w:r>
        <w:rPr>
          <w:rFonts w:ascii="宋体" w:eastAsia="宋体" w:hAnsi="宋体" w:cs="宋体"/>
          <w:color w:val="000000"/>
        </w:rPr>
        <w:t>③建成区面积快速增长，2019年后空间城镇化指数快速上升</w:t>
      </w:r>
    </w:p>
    <w:p>
      <w:pPr>
        <w:spacing w:line="360" w:lineRule="auto"/>
        <w:jc w:val="left"/>
        <w:textAlignment w:val="center"/>
        <w:rPr>
          <w:color w:val="000000"/>
        </w:rPr>
      </w:pPr>
      <w:r>
        <w:rPr>
          <w:rFonts w:ascii="宋体" w:eastAsia="宋体" w:hAnsi="宋体" w:cs="宋体"/>
          <w:color w:val="000000"/>
        </w:rPr>
        <w:t>④城镇绿地面积有所减少，2021年生态城镇化指数有所下降</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7. </w:t>
      </w:r>
      <w:r>
        <w:rPr>
          <w:rFonts w:ascii="宋体" w:eastAsia="宋体" w:hAnsi="宋体" w:cs="宋体"/>
          <w:color w:val="000000"/>
        </w:rPr>
        <w:t>与2016年社会城镇化指数极小值密切相关的是（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经济城镇化</w:t>
      </w:r>
      <w:r>
        <w:rPr>
          <w:color w:val="000000"/>
        </w:rPr>
        <w:tab/>
      </w:r>
      <w:r>
        <w:rPr>
          <w:color w:val="000000"/>
        </w:rPr>
        <w:t xml:space="preserve">B. </w:t>
      </w:r>
      <w:r>
        <w:rPr>
          <w:rFonts w:ascii="宋体" w:eastAsia="宋体" w:hAnsi="宋体" w:cs="宋体"/>
          <w:color w:val="000000"/>
        </w:rPr>
        <w:t>空间城镇化</w:t>
      </w:r>
      <w:r>
        <w:rPr>
          <w:color w:val="000000"/>
        </w:rPr>
        <w:tab/>
      </w:r>
      <w:r>
        <w:rPr>
          <w:color w:val="000000"/>
        </w:rPr>
        <w:t xml:space="preserve">C. </w:t>
      </w:r>
      <w:r>
        <w:rPr>
          <w:rFonts w:ascii="宋体" w:eastAsia="宋体" w:hAnsi="宋体" w:cs="宋体"/>
          <w:color w:val="000000"/>
        </w:rPr>
        <w:t>生态城镇化</w:t>
      </w:r>
      <w:r>
        <w:rPr>
          <w:color w:val="000000"/>
        </w:rPr>
        <w:tab/>
      </w:r>
      <w:r>
        <w:rPr>
          <w:color w:val="000000"/>
        </w:rPr>
        <w:t xml:space="preserve">D. </w:t>
      </w:r>
      <w:r>
        <w:rPr>
          <w:rFonts w:ascii="宋体" w:eastAsia="宋体" w:hAnsi="宋体" w:cs="宋体"/>
          <w:color w:val="000000"/>
        </w:rPr>
        <w:t>人口城镇化</w:t>
      </w:r>
    </w:p>
    <w:p>
      <w:pPr>
        <w:spacing w:line="360" w:lineRule="auto"/>
        <w:textAlignment w:val="center"/>
        <w:rPr>
          <w:color w:val="000000"/>
        </w:rPr>
      </w:pPr>
      <w:r>
        <w:rPr>
          <w:color w:val="2E75B6"/>
        </w:rPr>
        <w:t>【答案】</w:t>
      </w:r>
      <w:r>
        <w:rPr>
          <w:color w:val="000000"/>
        </w:rPr>
        <w:t xml:space="preserve">6. </w:t>
      </w:r>
      <w:r>
        <w:rPr>
          <w:color w:val="000000"/>
        </w:rPr>
        <w:t>B</w:t>
      </w:r>
      <w:r>
        <w:rPr>
          <w:color w:val="000000"/>
        </w:rPr>
        <w:t xml:space="preserve">    </w:t>
      </w:r>
      <w:r>
        <w:rPr>
          <w:color w:val="000000"/>
        </w:rPr>
        <w:t xml:space="preserve">7. </w:t>
      </w:r>
      <w:r>
        <w:rPr>
          <w:color w:val="000000"/>
        </w:rPr>
        <w:t>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【6题详解】</w:t>
      </w:r>
    </w:p>
    <w:p>
      <w:pPr>
        <w:spacing w:line="360" w:lineRule="auto"/>
        <w:jc w:val="left"/>
        <w:textAlignment w:val="center"/>
        <w:rPr>
          <w:color w:val="000000"/>
        </w:rPr>
      </w:pPr>
      <w:r>
        <w:rPr>
          <w:rFonts w:ascii="宋体" w:eastAsia="宋体" w:hAnsi="宋体" w:cs="宋体"/>
          <w:color w:val="000000"/>
        </w:rPr>
        <w:t>二三产业得到较快发展，促进当地经济快速发展，2013年经济城镇化指数达极大值，①正确。如果城乡收入差距不断缩小，将不利于农村人口转化为城镇人口，人口城镇化指数可能会下降，②错误。基于政策资金的支持，城镇建成区快速扩大，基础设施不断更新换代升级，助推了空间城镇化的快速发展，③正确。由于空间城镇化、经济城镇化、人口城镇化发展很快，生态城镇化没有跟上，导致生态城镇化指数有所下降，并不是城镇绿地面积减少，④错误，故B正确，ACD错误。故选B。</w:t>
      </w:r>
    </w:p>
    <w:p>
      <w:pPr>
        <w:spacing w:line="360" w:lineRule="auto"/>
        <w:jc w:val="left"/>
        <w:textAlignment w:val="center"/>
        <w:rPr>
          <w:color w:val="000000"/>
        </w:rPr>
      </w:pPr>
      <w:r>
        <w:rPr>
          <w:color w:val="000000"/>
        </w:rPr>
        <w:t>【7题详解】</w:t>
      </w:r>
    </w:p>
    <w:p>
      <w:pPr>
        <w:spacing w:line="360" w:lineRule="auto"/>
        <w:jc w:val="left"/>
        <w:textAlignment w:val="center"/>
        <w:rPr>
          <w:color w:val="000000"/>
        </w:rPr>
      </w:pPr>
      <w:r>
        <w:rPr>
          <w:rFonts w:ascii="宋体" w:eastAsia="宋体" w:hAnsi="宋体" w:cs="宋体"/>
          <w:color w:val="000000"/>
        </w:rPr>
        <w:t>从图示可以看出2016年社会城镇化指数极小值，人口城镇化指数极大值，两者呈负相关，2016年社会城镇化最低值主要是因为大量人口涌入城市后，导致拥有的人均教育、医疗等资源减少，社会城镇化指数下降，D正确。与经济城镇化、空间城镇化、生态城镇化关系不大，ABC错误。故选D。</w:t>
      </w:r>
    </w:p>
    <w:p>
      <w:pPr>
        <w:spacing w:line="360" w:lineRule="auto"/>
        <w:jc w:val="left"/>
        <w:textAlignment w:val="center"/>
        <w:rPr>
          <w:color w:val="000000"/>
        </w:rPr>
      </w:pPr>
      <w:r>
        <w:rPr>
          <w:color w:val="000000"/>
        </w:rPr>
        <w:t>【点睛】</w:t>
      </w:r>
      <w:r>
        <w:rPr>
          <w:rFonts w:ascii="宋体" w:eastAsia="宋体" w:hAnsi="宋体" w:cs="宋体"/>
          <w:color w:val="000000"/>
        </w:rPr>
        <w:t>新型城镇化，是以城乡统筹、城乡一体、产城互动、节约集约、生态宜居、和谐发展为基本特征的城镇化，是大中小城市、小城镇、新型农村社区协调发展、互促共进的城镇化。</w:t>
      </w:r>
    </w:p>
    <w:p>
      <w:pPr>
        <w:spacing w:line="360" w:lineRule="auto"/>
        <w:ind w:firstLine="420"/>
        <w:jc w:val="left"/>
        <w:textAlignment w:val="center"/>
        <w:rPr>
          <w:color w:val="000000"/>
        </w:rPr>
      </w:pPr>
      <w:r>
        <w:rPr>
          <w:rFonts w:ascii="楷体" w:eastAsia="楷体" w:hAnsi="楷体" w:cs="楷体"/>
          <w:color w:val="000000"/>
        </w:rPr>
        <w:t>位于意大利南蒂罗尔（47°N）的公共艺术装置，由环状钢和玻璃组成。下图中水平的大圆环代表当地的地平线，倾斜圆环（每个圆环有96片玻璃，圆环间距相等）代表一年中二分二至日的太阳视运动轨迹。据此完成下面小题。</w:t>
      </w:r>
    </w:p>
    <w:p>
      <w:pPr>
        <w:spacing w:line="360" w:lineRule="auto"/>
        <w:jc w:val="left"/>
        <w:textAlignment w:val="center"/>
        <w:rPr>
          <w:color w:val="000000"/>
        </w:rPr>
      </w:pPr>
      <w:r>
        <w:rPr>
          <w:color w:val="000000"/>
        </w:rPr>
        <w:drawing>
          <wp:inline>
            <wp:extent cx="3114675" cy="257175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0"/>
                    <a:stretch>
                      <a:fillRect/>
                    </a:stretch>
                  </pic:blipFill>
                  <pic:spPr>
                    <a:xfrm>
                      <a:off x="0" y="0"/>
                      <a:ext cx="3114675" cy="2571750"/>
                    </a:xfrm>
                    <a:prstGeom prst="rect">
                      <a:avLst/>
                    </a:prstGeom>
                  </pic:spPr>
                </pic:pic>
              </a:graphicData>
            </a:graphic>
          </wp:inline>
        </w:drawing>
      </w:r>
    </w:p>
    <w:p>
      <w:pPr>
        <w:spacing w:line="360" w:lineRule="auto"/>
        <w:jc w:val="left"/>
        <w:textAlignment w:val="center"/>
        <w:rPr>
          <w:color w:val="000000"/>
        </w:rPr>
      </w:pPr>
      <w:r>
        <w:rPr>
          <w:color w:val="000000"/>
        </w:rPr>
        <w:t xml:space="preserve">8. </w:t>
      </w:r>
      <w:r>
        <w:rPr>
          <w:rFonts w:ascii="宋体" w:eastAsia="宋体" w:hAnsi="宋体" w:cs="宋体"/>
          <w:color w:val="000000"/>
        </w:rPr>
        <w:t>图中圆环①②③④⑤中部分可追踪二分二至日的太阳轨迹，其中（   ）</w:t>
      </w:r>
    </w:p>
    <w:p>
      <w:pPr>
        <w:spacing w:line="360" w:lineRule="auto"/>
        <w:jc w:val="left"/>
        <w:textAlignment w:val="center"/>
        <w:rPr>
          <w:color w:val="000000"/>
        </w:rPr>
      </w:pPr>
      <w:r>
        <w:rPr>
          <w:rFonts w:ascii="宋体" w:eastAsia="宋体" w:hAnsi="宋体" w:cs="宋体"/>
          <w:color w:val="000000"/>
        </w:rPr>
        <w:t>①为春分日②为夏至日③为秋分日④为冬至日⑤为冬至日</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②④</w:t>
      </w:r>
      <w:r>
        <w:rPr>
          <w:color w:val="000000"/>
        </w:rPr>
        <w:tab/>
      </w:r>
      <w:r>
        <w:rPr>
          <w:color w:val="000000"/>
        </w:rPr>
        <w:t xml:space="preserve">C. </w:t>
      </w:r>
      <w:r>
        <w:rPr>
          <w:rFonts w:ascii="宋体" w:eastAsia="宋体" w:hAnsi="宋体" w:cs="宋体"/>
          <w:color w:val="000000"/>
        </w:rPr>
        <w:t>②⑤</w:t>
      </w:r>
      <w:r>
        <w:rPr>
          <w:color w:val="000000"/>
        </w:rPr>
        <w:tab/>
      </w:r>
      <w:r>
        <w:rPr>
          <w:color w:val="000000"/>
        </w:rPr>
        <w:t xml:space="preserve">D. </w:t>
      </w:r>
      <w:r>
        <w:rPr>
          <w:rFonts w:ascii="宋体" w:eastAsia="宋体" w:hAnsi="宋体" w:cs="宋体"/>
          <w:color w:val="000000"/>
        </w:rPr>
        <w:t>③⑤</w:t>
      </w:r>
    </w:p>
    <w:p>
      <w:pPr>
        <w:spacing w:line="360" w:lineRule="auto"/>
        <w:jc w:val="left"/>
        <w:textAlignment w:val="center"/>
        <w:rPr>
          <w:color w:val="000000"/>
        </w:rPr>
      </w:pPr>
      <w:r>
        <w:rPr>
          <w:color w:val="000000"/>
        </w:rPr>
        <w:t xml:space="preserve">9. </w:t>
      </w:r>
      <w:r>
        <w:rPr>
          <w:rFonts w:ascii="宋体" w:eastAsia="宋体" w:hAnsi="宋体" w:cs="宋体"/>
          <w:color w:val="000000"/>
        </w:rPr>
        <w:t>3月上旬，观者发现一日内太阳经过的玻璃片数最多可能为（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46片</w:t>
      </w:r>
      <w:r>
        <w:rPr>
          <w:color w:val="000000"/>
        </w:rPr>
        <w:tab/>
      </w:r>
      <w:r>
        <w:rPr>
          <w:color w:val="000000"/>
        </w:rPr>
        <w:t xml:space="preserve">B. </w:t>
      </w:r>
      <w:r>
        <w:rPr>
          <w:rFonts w:ascii="宋体" w:eastAsia="宋体" w:hAnsi="宋体" w:cs="宋体"/>
          <w:color w:val="000000"/>
        </w:rPr>
        <w:t>48片</w:t>
      </w:r>
      <w:r>
        <w:rPr>
          <w:color w:val="000000"/>
        </w:rPr>
        <w:tab/>
      </w:r>
      <w:r>
        <w:rPr>
          <w:color w:val="000000"/>
        </w:rPr>
        <w:t xml:space="preserve">C. </w:t>
      </w:r>
      <w:r>
        <w:rPr>
          <w:rFonts w:ascii="宋体" w:eastAsia="宋体" w:hAnsi="宋体" w:cs="宋体"/>
          <w:color w:val="000000"/>
        </w:rPr>
        <w:t>50片</w:t>
      </w:r>
      <w:r>
        <w:rPr>
          <w:color w:val="000000"/>
        </w:rPr>
        <w:tab/>
      </w:r>
      <w:r>
        <w:rPr>
          <w:color w:val="000000"/>
        </w:rPr>
        <w:t xml:space="preserve">D. </w:t>
      </w:r>
      <w:r>
        <w:rPr>
          <w:rFonts w:ascii="宋体" w:eastAsia="宋体" w:hAnsi="宋体" w:cs="宋体"/>
          <w:color w:val="000000"/>
        </w:rPr>
        <w:t>52片</w:t>
      </w:r>
    </w:p>
    <w:p>
      <w:pPr>
        <w:spacing w:line="360" w:lineRule="auto"/>
        <w:textAlignment w:val="center"/>
        <w:rPr>
          <w:color w:val="000000"/>
        </w:rPr>
      </w:pPr>
      <w:r>
        <w:rPr>
          <w:color w:val="2E75B6"/>
        </w:rPr>
        <w:t>【答案】</w:t>
      </w:r>
      <w:r>
        <w:rPr>
          <w:color w:val="000000"/>
        </w:rPr>
        <w:t xml:space="preserve">8. </w:t>
      </w:r>
      <w:r>
        <w:rPr>
          <w:color w:val="000000"/>
        </w:rPr>
        <w:t>D</w:t>
      </w:r>
      <w:r>
        <w:rPr>
          <w:color w:val="000000"/>
        </w:rPr>
        <w:t xml:space="preserve">    </w:t>
      </w:r>
      <w:r>
        <w:rPr>
          <w:color w:val="000000"/>
        </w:rPr>
        <w:t xml:space="preserve">9. </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position w:val="0"/>
        </w:rPr>
        <w:drawing>
          <wp:inline>
            <wp:extent cx="95250" cy="171450"/>
            <wp:docPr id="1000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7"/>
                    <a:stretch>
                      <a:fillRect/>
                    </a:stretch>
                  </pic:blipFill>
                  <pic:spPr>
                    <a:xfrm>
                      <a:off x="0" y="0"/>
                      <a:ext cx="95250" cy="171450"/>
                    </a:xfrm>
                    <a:prstGeom prst="rect">
                      <a:avLst/>
                    </a:prstGeom>
                  </pic:spPr>
                </pic:pic>
              </a:graphicData>
            </a:graphic>
          </wp:inline>
        </w:drawing>
      </w:r>
      <w:r>
        <w:rPr>
          <w:color w:val="000000"/>
        </w:rPr>
        <w:t>分析】</w:t>
      </w:r>
    </w:p>
    <w:p>
      <w:pPr>
        <w:spacing w:line="360" w:lineRule="auto"/>
        <w:jc w:val="left"/>
        <w:textAlignment w:val="center"/>
        <w:rPr>
          <w:color w:val="000000"/>
        </w:rPr>
      </w:pPr>
      <w:r>
        <w:rPr>
          <w:color w:val="000000"/>
          <w:position w:val="0"/>
        </w:rPr>
        <w:drawing>
          <wp:inline>
            <wp:extent cx="95250" cy="171450"/>
            <wp:docPr id="124783147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831477" name=""/>
                    <pic:cNvPicPr>
                      <a:picLocks noChangeAspect="1"/>
                    </pic:cNvPicPr>
                  </pic:nvPicPr>
                  <pic:blipFill>
                    <a:blip xmlns:r="http://schemas.openxmlformats.org/officeDocument/2006/relationships" r:embed="rId7"/>
                    <a:stretch>
                      <a:fillRect/>
                    </a:stretch>
                  </pic:blipFill>
                  <pic:spPr>
                    <a:xfrm>
                      <a:off x="0" y="0"/>
                      <a:ext cx="95250" cy="171450"/>
                    </a:xfrm>
                    <a:prstGeom prst="rect">
                      <a:avLst/>
                    </a:prstGeom>
                  </pic:spPr>
                </pic:pic>
              </a:graphicData>
            </a:graphic>
          </wp:inline>
        </w:drawing>
      </w:r>
      <w:r>
        <w:rPr>
          <w:color w:val="000000"/>
        </w:rPr>
        <w:t>8题详解】</w:t>
      </w:r>
    </w:p>
    <w:p>
      <w:pPr>
        <w:spacing w:line="360" w:lineRule="auto"/>
        <w:jc w:val="left"/>
        <w:textAlignment w:val="center"/>
        <w:rPr>
          <w:color w:val="000000"/>
        </w:rPr>
      </w:pPr>
      <w:r>
        <w:rPr>
          <w:color w:val="000000"/>
        </w:rPr>
        <w:t>该地位于47°N，所以一年中夏至日正午太阳高度角最大，冬至日正午太阳高度角最小。①为顶部圆环，表明该日正午太阳高度角为一年中最大，为夏至日，①错误；③为中部圆环，为二分日，③正确；⑤为底部圆环，表面该日正午太阳高度角最小，为冬至日，⑤正确；②④无法追踪二分二至日太阳轨迹，②④错误。A、B、C错误，D正确。故选D。</w:t>
      </w:r>
    </w:p>
    <w:p>
      <w:pPr>
        <w:spacing w:line="360" w:lineRule="auto"/>
        <w:jc w:val="left"/>
        <w:textAlignment w:val="center"/>
        <w:rPr>
          <w:color w:val="000000"/>
        </w:rPr>
      </w:pPr>
      <w:r>
        <w:rPr>
          <w:color w:val="000000"/>
        </w:rPr>
        <w:t>【9题详解】</w:t>
      </w:r>
    </w:p>
    <w:p>
      <w:pPr>
        <w:spacing w:line="360" w:lineRule="auto"/>
        <w:jc w:val="left"/>
        <w:textAlignment w:val="center"/>
        <w:rPr>
          <w:color w:val="000000"/>
        </w:rPr>
      </w:pPr>
      <w:r>
        <w:rPr>
          <w:color w:val="000000"/>
        </w:rPr>
        <w:t>3月上旬，太阳直射南半球，北半球昼短夜长，白昼时间短于12小时，圆环由96片玻璃组成，4片代表一小时，因此一日内太阳经过的玻璃片数少于48片，A正确，B、C、D错误。故选A。</w:t>
      </w:r>
    </w:p>
    <w:p>
      <w:pPr>
        <w:spacing w:line="360" w:lineRule="auto"/>
        <w:jc w:val="left"/>
        <w:textAlignment w:val="center"/>
        <w:rPr>
          <w:color w:val="000000"/>
        </w:rPr>
      </w:pPr>
      <w:r>
        <w:rPr>
          <w:color w:val="000000"/>
        </w:rPr>
        <w:t>【点睛】</w:t>
      </w:r>
      <w:r>
        <w:rPr>
          <w:color w:val="000000"/>
        </w:rPr>
        <w:t>夏至日时，北回归线及其以北地区的正午太阳高度角达一年中最大值；冬至日时，北半球各地正午太阳高度角达一年中最小值。</w:t>
      </w:r>
    </w:p>
    <w:p>
      <w:pPr>
        <w:spacing w:line="360" w:lineRule="auto"/>
        <w:ind w:firstLine="420"/>
        <w:jc w:val="left"/>
        <w:textAlignment w:val="center"/>
        <w:rPr>
          <w:color w:val="000000"/>
        </w:rPr>
      </w:pPr>
      <w:r>
        <w:rPr>
          <w:rFonts w:ascii="楷体" w:eastAsia="楷体" w:hAnsi="楷体" w:cs="楷体"/>
          <w:color w:val="000000"/>
        </w:rPr>
        <w:t>暖日（夜）日数是指日最高（低）气温&gt;90%分位值（50%分位值为中位数）的日数，冷日（夜）日数是指日最高（低）气温&lt;10%分位值的日数。全球变暖背景下，极端天气和气候事件频发。下图示意1969～2020年四川省极端气温年际变化。据此完成下面小题。</w:t>
      </w:r>
    </w:p>
    <w:p>
      <w:pPr>
        <w:spacing w:line="360" w:lineRule="auto"/>
        <w:jc w:val="left"/>
        <w:textAlignment w:val="center"/>
        <w:rPr>
          <w:color w:val="000000"/>
        </w:rPr>
      </w:pPr>
      <w:r>
        <w:rPr>
          <w:color w:val="000000"/>
        </w:rPr>
        <w:drawing>
          <wp:inline>
            <wp:extent cx="4514850" cy="1114425"/>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1"/>
                    <a:stretch>
                      <a:fillRect/>
                    </a:stretch>
                  </pic:blipFill>
                  <pic:spPr>
                    <a:xfrm>
                      <a:off x="0" y="0"/>
                      <a:ext cx="4514850" cy="1114425"/>
                    </a:xfrm>
                    <a:prstGeom prst="rect">
                      <a:avLst/>
                    </a:prstGeom>
                  </pic:spPr>
                </pic:pic>
              </a:graphicData>
            </a:graphic>
          </wp:inline>
        </w:drawing>
      </w:r>
    </w:p>
    <w:p>
      <w:pPr>
        <w:spacing w:line="360" w:lineRule="auto"/>
        <w:jc w:val="left"/>
        <w:textAlignment w:val="center"/>
        <w:rPr>
          <w:color w:val="000000"/>
        </w:rPr>
      </w:pPr>
      <w:r>
        <w:rPr>
          <w:color w:val="000000"/>
        </w:rPr>
        <w:t xml:space="preserve">10. </w:t>
      </w:r>
      <w:r>
        <w:rPr>
          <w:rFonts w:ascii="宋体" w:eastAsia="宋体" w:hAnsi="宋体" w:cs="宋体"/>
          <w:color w:val="000000"/>
        </w:rPr>
        <w:t>四川省（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1969～2020年白天均温先上升后降低</w:t>
      </w:r>
      <w:r>
        <w:rPr>
          <w:color w:val="000000"/>
        </w:rPr>
        <w:tab/>
      </w:r>
      <w:r>
        <w:rPr>
          <w:color w:val="000000"/>
        </w:rPr>
        <w:t xml:space="preserve">B. </w:t>
      </w:r>
      <w:r>
        <w:rPr>
          <w:rFonts w:ascii="宋体" w:eastAsia="宋体" w:hAnsi="宋体" w:cs="宋体"/>
          <w:color w:val="000000"/>
        </w:rPr>
        <w:t>2005～2019年白天均温较高</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1969～2020年夜晚均温先降低后上升</w:t>
      </w:r>
      <w:r>
        <w:rPr>
          <w:color w:val="000000"/>
        </w:rPr>
        <w:tab/>
      </w:r>
      <w:r>
        <w:rPr>
          <w:color w:val="000000"/>
        </w:rPr>
        <w:t xml:space="preserve">D. </w:t>
      </w:r>
      <w:r>
        <w:rPr>
          <w:rFonts w:ascii="宋体" w:eastAsia="宋体" w:hAnsi="宋体" w:cs="宋体"/>
          <w:color w:val="000000"/>
        </w:rPr>
        <w:t>2010～2019年夜晚均温较低</w:t>
      </w:r>
    </w:p>
    <w:p>
      <w:pPr>
        <w:spacing w:line="360" w:lineRule="auto"/>
        <w:jc w:val="left"/>
        <w:textAlignment w:val="center"/>
        <w:rPr>
          <w:color w:val="000000"/>
        </w:rPr>
      </w:pPr>
      <w:r>
        <w:rPr>
          <w:color w:val="000000"/>
        </w:rPr>
        <w:t xml:space="preserve">11. </w:t>
      </w:r>
      <w:r>
        <w:rPr>
          <w:rFonts w:ascii="宋体" w:eastAsia="宋体" w:hAnsi="宋体" w:cs="宋体"/>
          <w:color w:val="000000"/>
        </w:rPr>
        <w:t>近年来，四川省极端气温变化的影响是（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减缓水循环的速度</w:t>
      </w:r>
      <w:r>
        <w:rPr>
          <w:color w:val="000000"/>
        </w:rPr>
        <w:tab/>
      </w:r>
      <w:r>
        <w:rPr>
          <w:color w:val="000000"/>
        </w:rPr>
        <w:t xml:space="preserve">B. </w:t>
      </w:r>
      <w:r>
        <w:rPr>
          <w:rFonts w:ascii="宋体" w:eastAsia="宋体" w:hAnsi="宋体" w:cs="宋体"/>
          <w:color w:val="000000"/>
        </w:rPr>
        <w:t>减少植物养分消耗</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降低作物冻害风险</w:t>
      </w:r>
      <w:r>
        <w:rPr>
          <w:color w:val="000000"/>
        </w:rPr>
        <w:tab/>
      </w:r>
      <w:r>
        <w:rPr>
          <w:color w:val="000000"/>
        </w:rPr>
        <w:t xml:space="preserve">D. </w:t>
      </w:r>
      <w:r>
        <w:rPr>
          <w:rFonts w:ascii="宋体" w:eastAsia="宋体" w:hAnsi="宋体" w:cs="宋体"/>
          <w:color w:val="000000"/>
        </w:rPr>
        <w:t>扩大水稻种植面积</w:t>
      </w:r>
    </w:p>
    <w:p>
      <w:pPr>
        <w:spacing w:line="360" w:lineRule="auto"/>
        <w:textAlignment w:val="center"/>
        <w:rPr>
          <w:color w:val="000000"/>
        </w:rPr>
      </w:pPr>
      <w:r>
        <w:rPr>
          <w:color w:val="2E75B6"/>
        </w:rPr>
        <w:t>【答案】</w:t>
      </w:r>
      <w:r>
        <w:rPr>
          <w:color w:val="000000"/>
        </w:rPr>
        <w:t xml:space="preserve">10. </w:t>
      </w:r>
      <w:r>
        <w:rPr>
          <w:color w:val="000000"/>
        </w:rPr>
        <w:t>B</w:t>
      </w:r>
      <w:r>
        <w:rPr>
          <w:color w:val="000000"/>
        </w:rPr>
        <w:t xml:space="preserve">    </w:t>
      </w:r>
      <w:r>
        <w:rPr>
          <w:color w:val="000000"/>
        </w:rPr>
        <w:t xml:space="preserve">11. </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【10题详解】</w:t>
      </w:r>
    </w:p>
    <w:p>
      <w:pPr>
        <w:spacing w:line="360" w:lineRule="auto"/>
        <w:jc w:val="left"/>
        <w:textAlignment w:val="center"/>
        <w:rPr>
          <w:color w:val="000000"/>
        </w:rPr>
      </w:pPr>
      <w:r>
        <w:rPr>
          <w:rFonts w:ascii="宋体" w:eastAsia="宋体" w:hAnsi="宋体" w:cs="宋体"/>
          <w:color w:val="000000"/>
        </w:rPr>
        <w:t xml:space="preserve">1969～2020年期间，四川省暖日日数呈先减少后增加的趋势，白天均温总体呈先下降后上升的趋势，A错误。2005～2019年，四川省暖日日数呈波动增加趋势，冷日日数呈波动减少趋势，白天均温较高，B正确。1969～2020年期间，四川省暖夜日数呈波动增加的趋势，冷夜日数呈波动减少的趋势，夜间均温总体呈上升趋势，C错误。2010～2019年，四川省暖夜日数呈增加趋势，冷夜日数呈减少趋势，夜间均温较高，D错误。故选B。 </w:t>
      </w:r>
    </w:p>
    <w:p>
      <w:pPr>
        <w:spacing w:line="360" w:lineRule="auto"/>
        <w:jc w:val="left"/>
        <w:textAlignment w:val="center"/>
        <w:rPr>
          <w:color w:val="000000"/>
        </w:rPr>
      </w:pPr>
      <w:r>
        <w:rPr>
          <w:color w:val="000000"/>
        </w:rPr>
        <w:t>【11题详解】</w:t>
      </w:r>
    </w:p>
    <w:p>
      <w:pPr>
        <w:spacing w:line="360" w:lineRule="auto"/>
        <w:jc w:val="left"/>
        <w:textAlignment w:val="center"/>
        <w:rPr>
          <w:color w:val="000000"/>
        </w:rPr>
      </w:pPr>
      <w:r>
        <w:rPr>
          <w:rFonts w:ascii="宋体" w:eastAsia="宋体" w:hAnsi="宋体" w:cs="宋体"/>
          <w:color w:val="000000"/>
        </w:rPr>
        <w:t>近年来，四川省暖日日数波动增加，冷日日数波动减少，农作物受冻害的风险降低，C正确。四川省暖日日数波动增加，蒸发量变大，加快水循环的速度，A错误。四川省暖夜日数波动增加，夜间最低温呈上升趋势，增加植物养分消耗，B错误。由于极端气温增加，不稳定因素增多，扩大水稻种植面积会面临较大风险，D错误。故选C。</w:t>
      </w:r>
    </w:p>
    <w:p>
      <w:pPr>
        <w:spacing w:line="360" w:lineRule="auto"/>
        <w:jc w:val="left"/>
        <w:textAlignment w:val="center"/>
        <w:rPr>
          <w:color w:val="000000"/>
        </w:rPr>
      </w:pPr>
      <w:r>
        <w:rPr>
          <w:color w:val="000000"/>
        </w:rPr>
        <w:t>【点睛】</w:t>
      </w:r>
      <w:r>
        <w:rPr>
          <w:rFonts w:ascii="宋体" w:eastAsia="宋体" w:hAnsi="宋体" w:cs="宋体"/>
          <w:color w:val="000000"/>
        </w:rPr>
        <w:t xml:space="preserve">全球气候变暖是一种人为与自然因素叠加导致的现象，是由于温室效应不断积累，导致地气系统吸收与发射的能量不平衡，能量不断在地气系统累积。从而导致温度上升，造成全球气候变暖。全球变暖会使全球降水量重新分配，冰川和冻土消融，海平面上升。全球气候变暖的影响与危害如下：1、导致冰川融化，使海平面上升，有一些临海城市或将消失。2、形成大型，甚至超大型台风、飓风、海啸等灾难。3、病菌通过极端天气，扩大疫情的流行，对人体健康危害很大。4、气温升高使得自然界食物链逐渐断裂。  </w:t>
      </w:r>
    </w:p>
    <w:p>
      <w:pPr>
        <w:spacing w:line="360" w:lineRule="auto"/>
        <w:ind w:firstLine="420"/>
        <w:jc w:val="left"/>
        <w:textAlignment w:val="center"/>
        <w:rPr>
          <w:color w:val="000000"/>
        </w:rPr>
      </w:pPr>
      <w:r>
        <w:rPr>
          <w:rFonts w:ascii="楷体" w:eastAsia="楷体" w:hAnsi="楷体" w:cs="楷体"/>
          <w:color w:val="000000"/>
        </w:rPr>
        <w:t>黑脸琵鹭是全球最濒危鸟类之一，主要分布于东亚地区，海南岛是其重要的越冬地。研究发现，黑脸琵鹭春季迁徙前期上午活动高峰为8：00～9：00，而往我国东北、朝鲜半岛迁徙期间活动高峰为7:00～8:00。下图示意海南岛黑脸琵鹭调查点分布。据此完成下面小题。</w:t>
      </w:r>
    </w:p>
    <w:p>
      <w:pPr>
        <w:spacing w:line="360" w:lineRule="auto"/>
        <w:jc w:val="left"/>
        <w:textAlignment w:val="center"/>
        <w:rPr>
          <w:color w:val="000000"/>
        </w:rPr>
      </w:pPr>
      <w:r>
        <w:rPr>
          <w:color w:val="000000"/>
        </w:rPr>
        <w:drawing>
          <wp:inline>
            <wp:extent cx="3209925" cy="292417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2"/>
                    <a:stretch>
                      <a:fillRect/>
                    </a:stretch>
                  </pic:blipFill>
                  <pic:spPr>
                    <a:xfrm>
                      <a:off x="0" y="0"/>
                      <a:ext cx="3209925" cy="2924175"/>
                    </a:xfrm>
                    <a:prstGeom prst="rect">
                      <a:avLst/>
                    </a:prstGeom>
                  </pic:spPr>
                </pic:pic>
              </a:graphicData>
            </a:graphic>
          </wp:inline>
        </w:drawing>
      </w:r>
    </w:p>
    <w:p>
      <w:pPr>
        <w:spacing w:line="360" w:lineRule="auto"/>
        <w:jc w:val="left"/>
        <w:textAlignment w:val="center"/>
        <w:rPr>
          <w:color w:val="000000"/>
        </w:rPr>
      </w:pPr>
      <w:r>
        <w:rPr>
          <w:color w:val="000000"/>
        </w:rPr>
        <w:t xml:space="preserve">12. </w:t>
      </w:r>
      <w:r>
        <w:rPr>
          <w:rFonts w:ascii="宋体" w:eastAsia="宋体" w:hAnsi="宋体" w:cs="宋体"/>
          <w:color w:val="000000"/>
        </w:rPr>
        <w:t>海南岛发现黑脸琵鹭的调查点，其优势条件是（   ）</w:t>
      </w:r>
    </w:p>
    <w:p>
      <w:pPr>
        <w:spacing w:line="360" w:lineRule="auto"/>
        <w:jc w:val="left"/>
        <w:textAlignment w:val="center"/>
        <w:rPr>
          <w:color w:val="000000"/>
        </w:rPr>
      </w:pPr>
      <w:r>
        <w:rPr>
          <w:rFonts w:ascii="宋体" w:eastAsia="宋体" w:hAnsi="宋体" w:cs="宋体"/>
          <w:color w:val="000000"/>
        </w:rPr>
        <w:t>①城镇分布少，干扰较小 ②河流入海口，滩涂广布</w:t>
      </w:r>
    </w:p>
    <w:p>
      <w:pPr>
        <w:spacing w:line="360" w:lineRule="auto"/>
        <w:jc w:val="left"/>
        <w:textAlignment w:val="center"/>
        <w:rPr>
          <w:color w:val="000000"/>
        </w:rPr>
      </w:pPr>
      <w:r>
        <w:rPr>
          <w:rFonts w:ascii="宋体" w:eastAsia="宋体" w:hAnsi="宋体" w:cs="宋体"/>
          <w:color w:val="000000"/>
        </w:rPr>
        <w:t>③生态环境优，食物充足 ④地处背风坡，气温较高</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jc w:val="left"/>
        <w:textAlignment w:val="center"/>
        <w:rPr>
          <w:color w:val="000000"/>
        </w:rPr>
      </w:pPr>
      <w:r>
        <w:rPr>
          <w:color w:val="000000"/>
        </w:rPr>
        <w:t xml:space="preserve">13. </w:t>
      </w:r>
      <w:r>
        <w:rPr>
          <w:rFonts w:ascii="宋体" w:eastAsia="宋体" w:hAnsi="宋体" w:cs="宋体"/>
          <w:color w:val="000000"/>
        </w:rPr>
        <w:t>影响黑脸琵鹭春季迁徙期上午活动高峰较迁徙前期提前的因素最可能是（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气温</w:t>
      </w:r>
      <w:r>
        <w:rPr>
          <w:color w:val="000000"/>
        </w:rPr>
        <w:tab/>
      </w:r>
      <w:r>
        <w:rPr>
          <w:color w:val="000000"/>
        </w:rPr>
        <w:t xml:space="preserve">B. </w:t>
      </w:r>
      <w:r>
        <w:rPr>
          <w:rFonts w:ascii="宋体" w:eastAsia="宋体" w:hAnsi="宋体" w:cs="宋体"/>
          <w:color w:val="000000"/>
        </w:rPr>
        <w:t>降水</w:t>
      </w:r>
      <w:r>
        <w:rPr>
          <w:color w:val="000000"/>
        </w:rPr>
        <w:tab/>
      </w:r>
      <w:r>
        <w:rPr>
          <w:color w:val="000000"/>
        </w:rPr>
        <w:t xml:space="preserve">C. </w:t>
      </w:r>
      <w:r>
        <w:rPr>
          <w:rFonts w:ascii="宋体" w:eastAsia="宋体" w:hAnsi="宋体" w:cs="宋体"/>
          <w:color w:val="000000"/>
        </w:rPr>
        <w:t>光照</w:t>
      </w:r>
      <w:r>
        <w:rPr>
          <w:color w:val="000000"/>
        </w:rPr>
        <w:tab/>
      </w:r>
      <w:r>
        <w:rPr>
          <w:color w:val="000000"/>
        </w:rPr>
        <w:t xml:space="preserve">D. </w:t>
      </w:r>
      <w:r>
        <w:rPr>
          <w:rFonts w:ascii="宋体" w:eastAsia="宋体" w:hAnsi="宋体" w:cs="宋体"/>
          <w:color w:val="000000"/>
        </w:rPr>
        <w:t>风力</w:t>
      </w:r>
    </w:p>
    <w:p>
      <w:pPr>
        <w:spacing w:line="360" w:lineRule="auto"/>
        <w:textAlignment w:val="center"/>
        <w:rPr>
          <w:color w:val="000000"/>
        </w:rPr>
      </w:pPr>
      <w:r>
        <w:rPr>
          <w:color w:val="2E75B6"/>
        </w:rPr>
        <w:t>【答案】</w:t>
      </w:r>
      <w:r>
        <w:rPr>
          <w:color w:val="000000"/>
        </w:rPr>
        <w:t xml:space="preserve">12. </w:t>
      </w:r>
      <w:r>
        <w:rPr>
          <w:color w:val="000000"/>
        </w:rPr>
        <w:t>A</w:t>
      </w:r>
      <w:r>
        <w:rPr>
          <w:color w:val="000000"/>
        </w:rPr>
        <w:t xml:space="preserve">    </w:t>
      </w:r>
      <w:r>
        <w:rPr>
          <w:color w:val="000000"/>
        </w:rPr>
        <w:t xml:space="preserve">13. </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【12题详解】</w:t>
      </w:r>
    </w:p>
    <w:p>
      <w:pPr>
        <w:spacing w:line="360" w:lineRule="auto"/>
        <w:jc w:val="left"/>
        <w:textAlignment w:val="center"/>
        <w:rPr>
          <w:color w:val="000000"/>
        </w:rPr>
      </w:pPr>
      <w:r>
        <w:rPr>
          <w:rFonts w:ascii="宋体" w:eastAsia="宋体" w:hAnsi="宋体" w:cs="宋体"/>
          <w:color w:val="000000"/>
        </w:rPr>
        <w:t>图示发现黑脸琵鹭的调查点位于西部和北部，附近城镇分布较少，人为干扰较小，对环境破坏较小，生态环境较好，且开发时间较短，食物充足，①③正确。河流入海口附近，滩涂广布的调查点大多未发现黑脸琵鹭，②错误。冬季海南岛盛行偏北风，北部为迎风处，气温较低，④错误，故A正确，BCD错误。故选A。</w:t>
      </w:r>
    </w:p>
    <w:p>
      <w:pPr>
        <w:spacing w:line="360" w:lineRule="auto"/>
        <w:jc w:val="left"/>
        <w:textAlignment w:val="center"/>
        <w:rPr>
          <w:color w:val="000000"/>
        </w:rPr>
      </w:pPr>
      <w:r>
        <w:rPr>
          <w:color w:val="000000"/>
        </w:rPr>
        <w:t>【13题详解】</w:t>
      </w:r>
    </w:p>
    <w:p>
      <w:pPr>
        <w:spacing w:line="360" w:lineRule="auto"/>
        <w:jc w:val="left"/>
        <w:textAlignment w:val="center"/>
        <w:rPr>
          <w:color w:val="000000"/>
        </w:rPr>
      </w:pPr>
      <w:r>
        <w:rPr>
          <w:rFonts w:ascii="宋体" w:eastAsia="宋体" w:hAnsi="宋体" w:cs="宋体"/>
          <w:color w:val="000000"/>
        </w:rPr>
        <w:t>黑脸琵鹭春季往纬度更高的地区迁徙，期间北半球白昼渐长，日出时间越早，光照强度达到一定水平黑脸琵鹭即开始活动，上午活动高峰较迁徙前期提前，C正确。黑脸琵鹭春季往纬度更高的地区迁徙过程中，气温变低，不会导致上午活动高峰提前，A错误。材料无法体现降水和风力的变化，B、D错误。故选C。</w:t>
      </w:r>
    </w:p>
    <w:p>
      <w:pPr>
        <w:spacing w:line="360" w:lineRule="auto"/>
        <w:jc w:val="left"/>
        <w:textAlignment w:val="center"/>
        <w:rPr>
          <w:color w:val="000000"/>
        </w:rPr>
      </w:pPr>
      <w:r>
        <w:rPr>
          <w:color w:val="000000"/>
        </w:rPr>
        <w:t>【点睛】</w:t>
      </w:r>
      <w:r>
        <w:rPr>
          <w:color w:val="000000"/>
        </w:rPr>
        <w:t>黑脸琵鹭繁殖于朝鲜半岛北部，越冬南迁，在中国一般为冬候鸟，越冬于湖南、贵州、广东、福建、海南、香港、台湾、澎湖列岛等地；迁徙期间见于辽宁、北京、河北、山东等地；少数在福建为留鸟。黑脸琵鹭栖息于湖泊、水塘、沼泽、河口至沿海滩涂的芦菲沼泽地，常单独或成小群活动，性机警避于人。</w:t>
      </w:r>
    </w:p>
    <w:p>
      <w:pPr>
        <w:spacing w:line="360" w:lineRule="auto"/>
        <w:ind w:firstLine="420"/>
        <w:jc w:val="left"/>
        <w:textAlignment w:val="center"/>
        <w:rPr>
          <w:color w:val="000000"/>
        </w:rPr>
      </w:pPr>
      <w:r>
        <w:rPr>
          <w:rFonts w:ascii="楷体" w:eastAsia="楷体" w:hAnsi="楷体" w:cs="楷体"/>
          <w:color w:val="000000"/>
        </w:rPr>
        <w:t>等高反坡阶作为坡耕地水土保持措施之一，可有效减少水土流失。随着使用年限的增长，等高反坡阶的生态效益会降低。下图示意四个相邻样地、等高反坡阶剖面和不同坡度等高反坡阶样地径流量、泥沙量削减率。据此完成下面小题。</w:t>
      </w:r>
    </w:p>
    <w:p>
      <w:pPr>
        <w:spacing w:line="360" w:lineRule="auto"/>
        <w:jc w:val="left"/>
        <w:textAlignment w:val="center"/>
        <w:rPr>
          <w:color w:val="000000"/>
        </w:rPr>
      </w:pPr>
      <w:r>
        <w:rPr>
          <w:color w:val="000000"/>
        </w:rPr>
        <w:drawing>
          <wp:inline>
            <wp:extent cx="4781550" cy="147637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3"/>
                    <a:stretch>
                      <a:fillRect/>
                    </a:stretch>
                  </pic:blipFill>
                  <pic:spPr>
                    <a:xfrm>
                      <a:off x="0" y="0"/>
                      <a:ext cx="4781550" cy="1476375"/>
                    </a:xfrm>
                    <a:prstGeom prst="rect">
                      <a:avLst/>
                    </a:prstGeom>
                  </pic:spPr>
                </pic:pic>
              </a:graphicData>
            </a:graphic>
          </wp:inline>
        </w:drawing>
      </w:r>
    </w:p>
    <w:p>
      <w:pPr>
        <w:spacing w:line="360" w:lineRule="auto"/>
        <w:jc w:val="left"/>
        <w:textAlignment w:val="center"/>
        <w:rPr>
          <w:color w:val="000000"/>
        </w:rPr>
      </w:pPr>
      <w:r>
        <w:rPr>
          <w:color w:val="000000"/>
        </w:rPr>
        <w:t xml:space="preserve">14. </w:t>
      </w:r>
      <w:r>
        <w:rPr>
          <w:rFonts w:ascii="宋体" w:eastAsia="宋体" w:hAnsi="宋体" w:cs="宋体"/>
          <w:color w:val="000000"/>
        </w:rPr>
        <w:t>四个样地中，水土保持效益由好到差的排序为（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样地3&gt;样地4&gt;样地1&gt;样地2</w:t>
      </w:r>
      <w:r>
        <w:rPr>
          <w:color w:val="000000"/>
        </w:rPr>
        <w:tab/>
      </w:r>
      <w:r>
        <w:rPr>
          <w:color w:val="000000"/>
        </w:rPr>
        <w:t xml:space="preserve">B. </w:t>
      </w:r>
      <w:r>
        <w:rPr>
          <w:rFonts w:ascii="宋体" w:eastAsia="宋体" w:hAnsi="宋体" w:cs="宋体"/>
          <w:color w:val="000000"/>
        </w:rPr>
        <w:t>样地3&gt;样地4&gt;样地2&gt;样地1</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样地4&gt;样地3&gt;样地2&gt;样地1</w:t>
      </w:r>
      <w:r>
        <w:rPr>
          <w:color w:val="000000"/>
        </w:rPr>
        <w:tab/>
      </w:r>
      <w:r>
        <w:rPr>
          <w:color w:val="000000"/>
        </w:rPr>
        <w:t xml:space="preserve">D. </w:t>
      </w:r>
      <w:r>
        <w:rPr>
          <w:rFonts w:ascii="宋体" w:eastAsia="宋体" w:hAnsi="宋体" w:cs="宋体"/>
          <w:color w:val="000000"/>
        </w:rPr>
        <w:t>样地4&gt;样地3&gt;样地1&gt;样地2</w:t>
      </w:r>
    </w:p>
    <w:p>
      <w:pPr>
        <w:spacing w:line="360" w:lineRule="auto"/>
        <w:jc w:val="left"/>
        <w:textAlignment w:val="center"/>
        <w:rPr>
          <w:color w:val="000000"/>
        </w:rPr>
      </w:pPr>
      <w:r>
        <w:rPr>
          <w:color w:val="000000"/>
        </w:rPr>
        <w:t xml:space="preserve">15. </w:t>
      </w:r>
      <w:r>
        <w:rPr>
          <w:rFonts w:ascii="宋体" w:eastAsia="宋体" w:hAnsi="宋体" w:cs="宋体"/>
          <w:color w:val="000000"/>
        </w:rPr>
        <w:t>与原状坡耕地相比，布设等高反坡阶措施</w:t>
      </w:r>
      <w:r>
        <w:rPr>
          <w:rFonts w:ascii="宋体" w:eastAsia="宋体" w:hAnsi="宋体" w:cs="宋体"/>
          <w:color w:val="000000"/>
          <w:position w:val="0"/>
        </w:rPr>
        <w:drawing>
          <wp:inline>
            <wp:extent cx="133350" cy="177800"/>
            <wp:docPr id="1000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14"/>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主要目的是（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增加物种数量</w:t>
      </w:r>
      <w:r>
        <w:rPr>
          <w:color w:val="000000"/>
        </w:rPr>
        <w:tab/>
      </w:r>
      <w:r>
        <w:rPr>
          <w:color w:val="000000"/>
        </w:rPr>
        <w:t xml:space="preserve">B. </w:t>
      </w:r>
      <w:r>
        <w:rPr>
          <w:rFonts w:ascii="宋体" w:eastAsia="宋体" w:hAnsi="宋体" w:cs="宋体"/>
          <w:color w:val="000000"/>
        </w:rPr>
        <w:t>促进植物生长</w:t>
      </w:r>
      <w:r>
        <w:rPr>
          <w:color w:val="000000"/>
        </w:rPr>
        <w:tab/>
      </w:r>
      <w:r>
        <w:rPr>
          <w:color w:val="000000"/>
        </w:rPr>
        <w:t xml:space="preserve">C. </w:t>
      </w:r>
      <w:r>
        <w:rPr>
          <w:rFonts w:ascii="宋体" w:eastAsia="宋体" w:hAnsi="宋体" w:cs="宋体"/>
          <w:color w:val="000000"/>
        </w:rPr>
        <w:t>改良土壤质地</w:t>
      </w:r>
      <w:r>
        <w:rPr>
          <w:color w:val="000000"/>
        </w:rPr>
        <w:tab/>
      </w:r>
      <w:r>
        <w:rPr>
          <w:color w:val="000000"/>
        </w:rPr>
        <w:t xml:space="preserve">D. </w:t>
      </w:r>
      <w:r>
        <w:rPr>
          <w:rFonts w:ascii="宋体" w:eastAsia="宋体" w:hAnsi="宋体" w:cs="宋体"/>
          <w:color w:val="000000"/>
        </w:rPr>
        <w:t>减少植被蒸腾</w:t>
      </w:r>
    </w:p>
    <w:p>
      <w:pPr>
        <w:spacing w:line="360" w:lineRule="auto"/>
        <w:jc w:val="left"/>
        <w:textAlignment w:val="center"/>
        <w:rPr>
          <w:color w:val="000000"/>
        </w:rPr>
      </w:pPr>
      <w:r>
        <w:rPr>
          <w:color w:val="000000"/>
        </w:rPr>
        <w:t xml:space="preserve">16. </w:t>
      </w:r>
      <w:r>
        <w:rPr>
          <w:rFonts w:ascii="宋体" w:eastAsia="宋体" w:hAnsi="宋体" w:cs="宋体"/>
          <w:color w:val="000000"/>
        </w:rPr>
        <w:t>为保持等高反坡阶的生态效益，最合理的措施是定期（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增大坡面坡度</w:t>
      </w:r>
      <w:r>
        <w:rPr>
          <w:color w:val="000000"/>
        </w:rPr>
        <w:tab/>
      </w:r>
      <w:r>
        <w:rPr>
          <w:color w:val="000000"/>
        </w:rPr>
        <w:t xml:space="preserve">B. </w:t>
      </w:r>
      <w:r>
        <w:rPr>
          <w:rFonts w:ascii="宋体" w:eastAsia="宋体" w:hAnsi="宋体" w:cs="宋体"/>
          <w:color w:val="000000"/>
        </w:rPr>
        <w:t>增大反阶角度</w:t>
      </w:r>
      <w:r>
        <w:rPr>
          <w:color w:val="000000"/>
        </w:rPr>
        <w:tab/>
      </w:r>
      <w:r>
        <w:rPr>
          <w:color w:val="000000"/>
        </w:rPr>
        <w:t xml:space="preserve">C. </w:t>
      </w:r>
      <w:r>
        <w:rPr>
          <w:rFonts w:ascii="宋体" w:eastAsia="宋体" w:hAnsi="宋体" w:cs="宋体"/>
          <w:color w:val="000000"/>
        </w:rPr>
        <w:t>扩大坡面面积</w:t>
      </w:r>
      <w:r>
        <w:rPr>
          <w:color w:val="000000"/>
        </w:rPr>
        <w:tab/>
      </w:r>
      <w:r>
        <w:rPr>
          <w:color w:val="000000"/>
        </w:rPr>
        <w:t xml:space="preserve">D. </w:t>
      </w:r>
      <w:r>
        <w:rPr>
          <w:rFonts w:ascii="宋体" w:eastAsia="宋体" w:hAnsi="宋体" w:cs="宋体"/>
          <w:color w:val="000000"/>
        </w:rPr>
        <w:t>缩短阶宽宽度</w:t>
      </w:r>
    </w:p>
    <w:p>
      <w:pPr>
        <w:spacing w:line="360" w:lineRule="auto"/>
        <w:textAlignment w:val="center"/>
        <w:rPr>
          <w:color w:val="000000"/>
        </w:rPr>
      </w:pPr>
      <w:r>
        <w:rPr>
          <w:color w:val="2E75B6"/>
        </w:rPr>
        <w:t>【答案】</w:t>
      </w:r>
      <w:r>
        <w:rPr>
          <w:color w:val="000000"/>
        </w:rPr>
        <w:t xml:space="preserve">14. </w:t>
      </w:r>
      <w:r>
        <w:rPr>
          <w:color w:val="000000"/>
        </w:rPr>
        <w:t>D</w:t>
      </w:r>
      <w:r>
        <w:rPr>
          <w:color w:val="000000"/>
        </w:rPr>
        <w:t xml:space="preserve">    </w:t>
      </w:r>
      <w:r>
        <w:rPr>
          <w:color w:val="000000"/>
        </w:rPr>
        <w:t xml:space="preserve">15. </w:t>
      </w:r>
      <w:r>
        <w:rPr>
          <w:color w:val="000000"/>
        </w:rPr>
        <w:t>B</w:t>
      </w:r>
      <w:r>
        <w:rPr>
          <w:color w:val="000000"/>
        </w:rPr>
        <w:t xml:space="preserve">    </w:t>
      </w:r>
      <w:r>
        <w:rPr>
          <w:color w:val="000000"/>
        </w:rPr>
        <w:t xml:space="preserve">16. </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【14题详解】</w:t>
      </w:r>
    </w:p>
    <w:p>
      <w:pPr>
        <w:spacing w:line="360" w:lineRule="auto"/>
        <w:jc w:val="left"/>
        <w:textAlignment w:val="center"/>
        <w:rPr>
          <w:color w:val="000000"/>
        </w:rPr>
      </w:pPr>
      <w:r>
        <w:rPr>
          <w:color w:val="000000"/>
        </w:rPr>
        <w:t>图示等高反坡阶样地中，坡度15°的径流量和泥沙量削减率大于坡度10°，因此样地4的水土保持效益最好，样地3次之；原状坡耕地的样地中，坡度越小，水土保持效益越好，因此样地2最差；综上，四个样地中，水土保持效益由好到差排序为样地4&gt;样地3&gt;样地1&gt;样地2，D对，ABC错。故选D。</w:t>
      </w:r>
    </w:p>
    <w:p>
      <w:pPr>
        <w:spacing w:line="360" w:lineRule="auto"/>
        <w:jc w:val="left"/>
        <w:textAlignment w:val="center"/>
        <w:rPr>
          <w:color w:val="000000"/>
        </w:rPr>
      </w:pPr>
      <w:r>
        <w:rPr>
          <w:color w:val="000000"/>
        </w:rPr>
        <w:t>【15题详解】</w:t>
      </w:r>
    </w:p>
    <w:p>
      <w:pPr>
        <w:spacing w:line="360" w:lineRule="auto"/>
        <w:jc w:val="left"/>
        <w:textAlignment w:val="center"/>
        <w:rPr>
          <w:color w:val="000000"/>
        </w:rPr>
      </w:pPr>
      <w:r>
        <w:rPr>
          <w:color w:val="000000"/>
        </w:rPr>
        <w:t>与原状坡耕地相比，布设等高反坡阶措施能够汇集已经产生的坡面径流，使之逐渐入渗，减少坡面径流，同时减少坡面产沙，具有良好的水土保持效果，从而提升土壤肥力，促进植物生长，B对；布设等高反坡阶措施对物种数量和植被蒸腾影响较小，AD错；土壤质地，是根据土壤的颗粒组成划分的土壤类型（砂土、壤土和粘土），与含水量关系不大，C错。故选B。</w:t>
      </w:r>
    </w:p>
    <w:p>
      <w:pPr>
        <w:spacing w:line="360" w:lineRule="auto"/>
        <w:jc w:val="left"/>
        <w:textAlignment w:val="center"/>
        <w:rPr>
          <w:color w:val="000000"/>
        </w:rPr>
      </w:pPr>
      <w:r>
        <w:rPr>
          <w:color w:val="000000"/>
        </w:rPr>
        <w:t>【16题详解】</w:t>
      </w:r>
    </w:p>
    <w:p>
      <w:pPr>
        <w:spacing w:line="360" w:lineRule="auto"/>
        <w:jc w:val="left"/>
        <w:textAlignment w:val="center"/>
        <w:rPr>
          <w:color w:val="000000"/>
        </w:rPr>
      </w:pPr>
      <w:r>
        <w:rPr>
          <w:color w:val="000000"/>
        </w:rPr>
        <w:t>随着使用年限的增长，泥沙不断淤积于反阶面上，且使得反阶角度会变小，阶宽宽度变小，因此为保持等高反坡阶的生态效益，应该定期增大反阶角度，加长阶宽宽度，B对，D错；坡面径流会冲刷表土，使得坡面坡度变大，应该减小坡面坡度，A错；坡面面积无明显变化，无需扩大，C错。故选B。</w:t>
      </w:r>
    </w:p>
    <w:p>
      <w:pPr>
        <w:spacing w:line="360" w:lineRule="auto"/>
        <w:jc w:val="left"/>
        <w:textAlignment w:val="center"/>
        <w:rPr>
          <w:color w:val="000000"/>
        </w:rPr>
      </w:pPr>
      <w:r>
        <w:rPr>
          <w:color w:val="000000"/>
        </w:rPr>
        <w:t>【点睛】</w:t>
      </w:r>
      <w:r>
        <w:rPr>
          <w:color w:val="000000"/>
        </w:rPr>
        <w:t>中游黄土高原侵蚀区的治理：①根本措施：水土保持。②具体措施：因地制宜进行综合治理。生物措施，封山育林、退耕还林还草等耕作措施，沿等高线耕作、留茬少耕、免耕等工程措施，修建梯田和水平沟、打坝淤地、挖鱼鳞坑等。</w:t>
      </w:r>
    </w:p>
    <w:p>
      <w:pPr>
        <w:spacing w:line="360" w:lineRule="auto"/>
        <w:jc w:val="left"/>
        <w:textAlignment w:val="center"/>
        <w:rPr>
          <w:color w:val="000000"/>
        </w:rPr>
      </w:pPr>
      <w:r>
        <w:rPr>
          <w:rFonts w:ascii="宋体" w:eastAsia="宋体" w:hAnsi="宋体" w:cs="宋体"/>
          <w:b/>
          <w:color w:val="000000"/>
          <w:sz w:val="24"/>
        </w:rPr>
        <w:t>二、非选择题：本题共3小题，共52分。</w:t>
      </w:r>
    </w:p>
    <w:p>
      <w:pPr>
        <w:spacing w:line="360" w:lineRule="auto"/>
        <w:jc w:val="left"/>
        <w:textAlignment w:val="center"/>
        <w:rPr>
          <w:color w:val="000000"/>
        </w:rPr>
      </w:pPr>
      <w:r>
        <w:rPr>
          <w:color w:val="000000"/>
        </w:rPr>
        <w:t xml:space="preserve">17. </w:t>
      </w:r>
      <w:r>
        <w:rPr>
          <w:rFonts w:ascii="宋体" w:eastAsia="宋体" w:hAnsi="宋体" w:cs="宋体"/>
          <w:color w:val="000000"/>
        </w:rPr>
        <w:t>阅读图文材料，完成下列要求。</w:t>
      </w:r>
    </w:p>
    <w:p>
      <w:pPr>
        <w:spacing w:line="360" w:lineRule="auto"/>
        <w:ind w:firstLine="420"/>
        <w:jc w:val="left"/>
        <w:textAlignment w:val="center"/>
        <w:rPr>
          <w:color w:val="000000"/>
        </w:rPr>
      </w:pPr>
      <w:r>
        <w:rPr>
          <w:rFonts w:ascii="楷体" w:eastAsia="楷体" w:hAnsi="楷体" w:cs="楷体"/>
          <w:color w:val="000000"/>
        </w:rPr>
        <w:t>冰碛湖是指冰川消融时，终碛物（冰川前端的堆积物）堵塞河道或冰川谷，积水形成的湖泊。冰碛湖溃决的诱因，主要包括终碛物（坝体）稳定性与外界因素（崩塌体进入湖中）。吉翁错位于西藏东部尼都藏布流域，夏季盛行西南季风，在2020年夏季发生溃决，调查发现湖泊东岸边坡崩塌体面积较大。如图示意2000年以来吉翁错面积变化。</w:t>
      </w:r>
    </w:p>
    <w:p>
      <w:pPr>
        <w:spacing w:line="360" w:lineRule="auto"/>
        <w:jc w:val="left"/>
        <w:textAlignment w:val="center"/>
        <w:rPr>
          <w:color w:val="000000"/>
        </w:rPr>
      </w:pPr>
      <w:r>
        <w:rPr>
          <w:color w:val="000000"/>
        </w:rPr>
        <w:drawing>
          <wp:inline>
            <wp:extent cx="2533650" cy="341947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5"/>
                    <a:stretch>
                      <a:fillRect/>
                    </a:stretch>
                  </pic:blipFill>
                  <pic:spPr>
                    <a:xfrm>
                      <a:off x="0" y="0"/>
                      <a:ext cx="2533650" cy="341947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从外力作用角度，分析湖泊东岸边坡崩塌体面积较大的原因。</w:t>
      </w:r>
    </w:p>
    <w:p>
      <w:pPr>
        <w:spacing w:line="360" w:lineRule="auto"/>
        <w:jc w:val="left"/>
        <w:textAlignment w:val="center"/>
        <w:rPr>
          <w:color w:val="000000"/>
        </w:rPr>
      </w:pPr>
      <w:r>
        <w:rPr>
          <w:color w:val="000000"/>
        </w:rPr>
        <w:t>（2）</w:t>
      </w:r>
      <w:r>
        <w:rPr>
          <w:rFonts w:ascii="宋体" w:eastAsia="宋体" w:hAnsi="宋体" w:cs="宋体"/>
          <w:color w:val="000000"/>
        </w:rPr>
        <w:t>说出吉翁错溃决前后湖底沉积物粒径的变化，并分析其原因。</w:t>
      </w:r>
    </w:p>
    <w:p>
      <w:pPr>
        <w:spacing w:line="360" w:lineRule="auto"/>
        <w:jc w:val="left"/>
        <w:textAlignment w:val="center"/>
        <w:rPr>
          <w:color w:val="000000"/>
        </w:rPr>
      </w:pPr>
      <w:r>
        <w:rPr>
          <w:color w:val="000000"/>
        </w:rPr>
        <w:t>（3）</w:t>
      </w:r>
      <w:r>
        <w:rPr>
          <w:rFonts w:ascii="宋体" w:eastAsia="宋体" w:hAnsi="宋体" w:cs="宋体"/>
          <w:color w:val="000000"/>
        </w:rPr>
        <w:t>推测吉翁错溃决后在甲区形成的地貌，并说明形成过程。</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湖泊东岸边坡为西南季风迎风坡，降水量较大；边坡含水量较大，冻融风化作用较强；东岸边坡为山体的西坡，下午太阳辐射较强，昼夜温差风化作用较强，导致岩体稳定性较差。</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变化：溃决前湖底沉积物粒径小，溃决后变大，稳定后变小。</w:t>
      </w:r>
    </w:p>
    <w:p>
      <w:pPr>
        <w:spacing w:line="360" w:lineRule="auto"/>
        <w:jc w:val="both"/>
        <w:textAlignment w:val="center"/>
        <w:rPr>
          <w:color w:val="000000"/>
        </w:rPr>
      </w:pPr>
      <w:r>
        <w:rPr>
          <w:rFonts w:ascii="宋体" w:eastAsia="宋体" w:hAnsi="宋体" w:cs="宋体"/>
          <w:color w:val="000000"/>
        </w:rPr>
        <w:t>原因：溃决前，水流平缓，搬运能力弱，湖底沉积物粒径小；溃决后，流速加快，搬运能力增强，且大量崩塌物进入湖中沉积，湖底沉积物粒径变大；当湖泊进出水量达平衡后，流速变慢，搬运能力变弱，湖底沉积物粒径变小。</w:t>
      </w:r>
      <w:r>
        <w:rPr>
          <w:color w:val="000000"/>
        </w:rPr>
        <w:t xml:space="preserve">    </w:t>
      </w:r>
    </w:p>
    <w:p>
      <w:pPr>
        <w:spacing w:line="360" w:lineRule="auto"/>
        <w:jc w:val="both"/>
        <w:textAlignment w:val="center"/>
        <w:rPr>
          <w:color w:val="000000"/>
        </w:rPr>
      </w:pPr>
      <w:r>
        <w:rPr>
          <w:color w:val="000000"/>
        </w:rPr>
        <w:t>（3）</w:t>
      </w:r>
      <w:r>
        <w:rPr>
          <w:rFonts w:ascii="宋体" w:eastAsia="宋体" w:hAnsi="宋体" w:cs="宋体"/>
          <w:color w:val="000000"/>
        </w:rPr>
        <w:t>冲积扇；水流在流出溃口后，由于地势趋于平缓，水流速度减慢；搬运的物质在甲处沉积，形成扇状堆积体。</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本题以2000年以来吉翁错面积变化的材料设置试题，涉及外力作用对地表形态的影响、地理环境整体性、河流地貌等相关知识点，考查学生获取和解读地理信息、调动和运用地理知识解决问题的能力，体现区域认知、综合思维的学科素养。</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从外力作用角度，分析湖泊东岸边坡崩塌体面积较大的原因，主要从风化作用进行分析，包括冻融风化和物理风化（温差风化）。该区域夏季盛行西南季风，湖泊东岸边坡为西南季风迎风坡，降水量较大；边坡含水量较大，由于海拔高，气温低，冻融风化作用较强；东岸边坡为山体的西坡，下午太阳辐射较强，白天气温较高，夜间降温较快，昼夜温差较大，产生的风化作用较强，导致岩体稳定性较差。</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吉翁错溃决前后湖底沉积物粒径的变化取决于流速的变化，流速变化影响水流的搬运能力，从而可知湖底沉积物粒径的变化。溃决前，吉翁错水流平缓，流水的搬运能力较弱，搬运的物质粒径较小，湖底沉积物粒径较小；溃决后，湖水流速加快，流水的搬运能力增强，搬运物质的颗粒增大；且大量崩塌物进入湖中沉积，湖底沉积物粒径变大；当溃决结束后，湖泊水量进出达到平衡，水流速度变缓，搬运能力减弱，湖底沉积物粒径变小；故吉翁错溃决前后湖底沉积物粒径的由小变大，稳定后又变小。</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读图可知，甲区位于溃口下游，类似河流出山口，水流在流出溃口后，由于地势趋于平缓，水流速度减慢，搬运能力下降，搬运的物质在甲处大量沉积，形成扇状堆积体，即冲积扇，沉积物颗粒从扇顶向扇缘逐渐变小。</w:t>
      </w:r>
    </w:p>
    <w:p>
      <w:pPr>
        <w:spacing w:line="360" w:lineRule="auto"/>
        <w:jc w:val="left"/>
        <w:textAlignment w:val="center"/>
        <w:rPr>
          <w:color w:val="000000"/>
        </w:rPr>
      </w:pPr>
      <w:r>
        <w:rPr>
          <w:color w:val="000000"/>
        </w:rPr>
        <w:t xml:space="preserve">18. </w:t>
      </w:r>
      <w:r>
        <w:rPr>
          <w:rFonts w:ascii="宋体" w:eastAsia="宋体" w:hAnsi="宋体" w:cs="宋体"/>
          <w:color w:val="000000"/>
        </w:rPr>
        <w:t>阅读图文材料，完成下列要求。</w:t>
      </w:r>
    </w:p>
    <w:p>
      <w:pPr>
        <w:spacing w:line="360" w:lineRule="auto"/>
        <w:ind w:firstLine="420"/>
        <w:jc w:val="left"/>
        <w:textAlignment w:val="center"/>
        <w:rPr>
          <w:color w:val="000000"/>
        </w:rPr>
      </w:pPr>
      <w:r>
        <w:rPr>
          <w:rFonts w:ascii="楷体" w:eastAsia="楷体" w:hAnsi="楷体" w:cs="楷体"/>
          <w:color w:val="000000"/>
        </w:rPr>
        <w:t>河蟹食性很杂，善于挖洞与攀爬，最适宜在中性或微碱性的水体中生长。河蟹一生中要蜕壳20次左右，钙是河蟹甲壳的重要组成部分，补钙可以帮助河蟹蜕壳。稻蟹共生模式是在辽宁省盘锦市发展起来的稻田种养模式，在稻田内既种植水稻又养殖河蟹。稻田田埂内侧须埋置塑料薄膜，并在稻田对角设有进出水口，以便水体更新。为了使河蟹健康成长，稻田要定期泼洒石灰水[主要成分是Ca（OH）₂]。下图示意水稻与河蟹共生系统。</w:t>
      </w:r>
    </w:p>
    <w:p>
      <w:pPr>
        <w:spacing w:line="360" w:lineRule="auto"/>
        <w:jc w:val="left"/>
        <w:textAlignment w:val="center"/>
        <w:rPr>
          <w:color w:val="000000"/>
        </w:rPr>
      </w:pPr>
      <w:r>
        <w:rPr>
          <w:color w:val="000000"/>
        </w:rPr>
        <w:drawing>
          <wp:inline>
            <wp:extent cx="3505200" cy="290512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6"/>
                    <a:stretch>
                      <a:fillRect/>
                    </a:stretch>
                  </pic:blipFill>
                  <pic:spPr>
                    <a:xfrm>
                      <a:off x="0" y="0"/>
                      <a:ext cx="3505200" cy="29051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河蟹“越狱”能力很强，简述防止河蟹逃跑的措施。</w:t>
      </w:r>
    </w:p>
    <w:p>
      <w:pPr>
        <w:spacing w:line="360" w:lineRule="auto"/>
        <w:jc w:val="left"/>
        <w:textAlignment w:val="center"/>
        <w:rPr>
          <w:color w:val="000000"/>
        </w:rPr>
      </w:pPr>
      <w:r>
        <w:rPr>
          <w:color w:val="000000"/>
        </w:rPr>
        <w:t>（2）</w:t>
      </w:r>
      <w:r>
        <w:rPr>
          <w:rFonts w:ascii="宋体" w:eastAsia="宋体" w:hAnsi="宋体" w:cs="宋体"/>
          <w:color w:val="000000"/>
        </w:rPr>
        <w:t>指出定期在稻田中泼洒石灰水的作用。</w:t>
      </w:r>
    </w:p>
    <w:p>
      <w:pPr>
        <w:spacing w:line="360" w:lineRule="auto"/>
        <w:jc w:val="left"/>
        <w:textAlignment w:val="center"/>
        <w:rPr>
          <w:color w:val="000000"/>
        </w:rPr>
      </w:pPr>
      <w:r>
        <w:rPr>
          <w:color w:val="000000"/>
        </w:rPr>
        <w:t>（3）</w:t>
      </w:r>
      <w:r>
        <w:rPr>
          <w:rFonts w:ascii="宋体" w:eastAsia="宋体" w:hAnsi="宋体" w:cs="宋体"/>
          <w:color w:val="000000"/>
        </w:rPr>
        <w:t>简述河蟹养殖有利于水稻生长的土壤条件。</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加高加固田埂；进出水口设置防逃网；田埂内侧埋置加厚塑料薄膜，表面光滑，不易攀爬。</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杀灭稻田水体中的病菌；保持稻田水体略显碱性，防止酸化；为河蟹提供丰富的钙元素，促进补钙，帮助河蟹蜕壳。</w: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河蟹排泄物、残饵和蟹壳等增加了稻田有机质；河蟹不间断活动起到松土作用，利于水稻根系发育；觅食松土加速了土壤养分的矿化分解，提供更充足的矿物养分；河蟹以杂草落叶为食，减少杂草抢夺水稻营养。</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本题以水稻与河蟹共生系统为材料设置试题，涉及农业发展措施、农业区位因素等相关知识点，考查学生获取和解读地理信息、调动和运用地理知识解决问题的能力，体现区域认知、综合思维的学科素养。</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河蟹“越狱”能力很强，为了防止河蟹逃跑应该使稻田四周密封并光滑，可以加高加固田埂；在稻田进出水口设置防护网，防止河蟹逃跑；田埂内侧埋置表面光滑、加厚的、不易攀爬的塑料薄膜等。</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材料可知，定期泼洒石灰水可使河蟹健康成长，所以泼洒石灰水的作用要从石灰水对河蟹及其生存环境的影响方面分析。石灰水具有消毒杀菌作用，泼洒石灰水可以杀灭稻田水体中的病菌；石灰水的主要成分是氢氧化钙Ca（OH）2，显碱性，河蟹适宜在微碱性的水体中生长；钙是蟹壳的主要成分，泼洒石灰水可以为河蟹提供丰富的钙元素，为河蟹补钙，帮助河蟹脱壳。</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土壤条件要从土壤的组成成分（有机质、矿物质、空气和水分）方面分析。河蟹以杂草落叶为食，河蟹养殖可以减少稻田中的杂草，保障水稻生长的营养；河蟹排泄物、残饵和蟹壳等增加了稻田有机质，提高土壤肥力；河蟹不间断地觅食松土，觅食松土加速了土壤养分的矿化分解，为水稻生长提供更充足的矿物养分；觅食松土利于水稻根系发育等。</w:t>
      </w:r>
    </w:p>
    <w:p>
      <w:pPr>
        <w:spacing w:line="360" w:lineRule="auto"/>
        <w:jc w:val="left"/>
        <w:textAlignment w:val="center"/>
        <w:rPr>
          <w:color w:val="000000"/>
        </w:rPr>
      </w:pPr>
      <w:r>
        <w:rPr>
          <w:color w:val="000000"/>
        </w:rPr>
        <w:t xml:space="preserve">19. </w:t>
      </w:r>
      <w:r>
        <w:rPr>
          <w:rFonts w:ascii="宋体" w:eastAsia="宋体" w:hAnsi="宋体" w:cs="宋体"/>
          <w:color w:val="000000"/>
        </w:rPr>
        <w:t>阅读图文材料，完成下列要求。</w:t>
      </w:r>
    </w:p>
    <w:p>
      <w:pPr>
        <w:spacing w:line="360" w:lineRule="auto"/>
        <w:ind w:firstLine="420"/>
        <w:jc w:val="left"/>
        <w:textAlignment w:val="center"/>
        <w:rPr>
          <w:color w:val="000000"/>
        </w:rPr>
      </w:pPr>
      <w:r>
        <w:rPr>
          <w:rFonts w:ascii="楷体" w:eastAsia="楷体" w:hAnsi="楷体" w:cs="楷体"/>
          <w:color w:val="000000"/>
        </w:rPr>
        <w:t>新加坡是东南亚人口密度最大、经济最发达的国家。除新加坡外，中南半岛各国的路网密度普遍较低。泛亚铁路共包括3条线路——东线、中线、西线，起点和终点都是昆明和新加坡，如下左图所示。泛亚铁路开通后，中南半岛的平均区位优势度大幅提高，其中新加坡、缅甸、越南和西马来西亚的区位优势度提高幅度均超过150%。右上图是中南半岛区位优势度统计特征，右下图示意中南半岛地形分布。</w:t>
      </w:r>
    </w:p>
    <w:p>
      <w:pPr>
        <w:spacing w:line="360" w:lineRule="auto"/>
        <w:jc w:val="left"/>
        <w:textAlignment w:val="center"/>
        <w:rPr>
          <w:color w:val="000000"/>
        </w:rPr>
      </w:pPr>
      <w:r>
        <w:rPr>
          <w:color w:val="000000"/>
        </w:rPr>
        <w:drawing>
          <wp:inline>
            <wp:extent cx="4238625" cy="389572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7"/>
                    <a:stretch>
                      <a:fillRect/>
                    </a:stretch>
                  </pic:blipFill>
                  <pic:spPr>
                    <a:xfrm>
                      <a:off x="0" y="0"/>
                      <a:ext cx="4238625" cy="38957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与新加坡相比，说出老挝路网密度低的原因。</w:t>
      </w:r>
    </w:p>
    <w:p>
      <w:pPr>
        <w:spacing w:line="360" w:lineRule="auto"/>
        <w:jc w:val="left"/>
        <w:textAlignment w:val="center"/>
        <w:rPr>
          <w:color w:val="000000"/>
        </w:rPr>
      </w:pPr>
      <w:r>
        <w:rPr>
          <w:color w:val="000000"/>
        </w:rPr>
        <w:t>（2）</w:t>
      </w:r>
      <w:r>
        <w:rPr>
          <w:rFonts w:ascii="宋体" w:eastAsia="宋体" w:hAnsi="宋体" w:cs="宋体"/>
          <w:color w:val="000000"/>
        </w:rPr>
        <w:t>泛亚铁路开通后，新加坡、缅甸、越南和西马来西亚的区位优势度提高幅度大，简述其原因。</w:t>
      </w:r>
    </w:p>
    <w:p>
      <w:pPr>
        <w:spacing w:line="360" w:lineRule="auto"/>
        <w:jc w:val="left"/>
        <w:textAlignment w:val="center"/>
        <w:rPr>
          <w:color w:val="000000"/>
        </w:rPr>
      </w:pPr>
      <w:r>
        <w:rPr>
          <w:color w:val="000000"/>
        </w:rPr>
        <w:t>（3）</w:t>
      </w:r>
      <w:r>
        <w:rPr>
          <w:rFonts w:ascii="宋体" w:eastAsia="宋体" w:hAnsi="宋体" w:cs="宋体"/>
          <w:color w:val="000000"/>
        </w:rPr>
        <w:t>泛亚铁路的开通促进跨国的沿海和沿海—内陆轴带的发育，简述其原因。</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经济发展水平较低，资金短缺、技术落后；人口密度小，交通运输需求小；山脉纵横，交通建设成本高，制约交通网络的完善。</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三条线路的终点（起点）都在新加坡，发展铁海联运；经过缅甸、越南和西马来西亚的线路长，辐射作用强；缅甸、越南在泛亚铁路开通前区位优势度低，开通后受益大。</w: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泛亚铁路有利于各沿海城市和大型海港之间的竞争与合作，为沿海轴带的发育提供动力；泛亚铁路为沿海城市的内陆腹地拓展提供了便捷通道，促进沿海—内陆轴带的发育。</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本题以泛亚铁路的图文材料设置问题，涉及交通运输线的区位因素、交通运输对区域经济发展的影响等知识点，考查学生获取和解读地理信息、调动和运用地理知识、描述和阐释地理事物的能力。</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路网密度的影响因素有自然因素和人文因素。结合材料分析老挝境内多山地和高原，地形复杂，交通建设难度大，维护成本高，这限制了路网的建设和发展；老挝经济发展水平较低，缺乏足够的资金和资源投入到基础设施建设中；老挝人口较少，且分布不均，主要集中在沿河和平原地区，这导致路网建设的需求相对较低；老挝在交通建设和管理方面的技术和经验可能相对不足，这也影响了路网建设和发展的效率和质量。</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泛亚铁路开通后区位优势度提高幅度大说明泛亚铁路对沿线及其附近辐射作用强，要从图中提取相关信息，此外，原来区位优势度低，开通后受益会更大。新加坡作为东南亚的经济中心，三条路线的终点或起点都在新加坡，泛亚铁路的开通进一步巩固了其作为交通枢纽的地位；经过缅甸、越南和西马来西亚的线路长，辐射作用强，缅甸、越南和西马来西亚则因其地理位置成为连接东南亚和中国的重要节点，区位优势得到显著提升。</w:t>
      </w:r>
    </w:p>
    <w:p>
      <w:pPr>
        <w:spacing w:line="360" w:lineRule="auto"/>
        <w:jc w:val="left"/>
        <w:textAlignment w:val="center"/>
        <w:rPr>
          <w:color w:val="000000"/>
        </w:rPr>
      </w:pPr>
      <w:r>
        <w:rPr>
          <w:color w:val="000000"/>
        </w:rPr>
        <w:t>【小问3详解】</w:t>
      </w:r>
    </w:p>
    <w:sectPr w:rsidSect="00C321EB">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wmf"/><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2" Type="http://schemas.openxmlformats.org/officeDocument/2006/relationships/webSettings" Target="webSettings.xml"/><Relationship Id="rId20" Type="http://schemas.openxmlformats.org/officeDocument/2006/relationships/theme" Target="theme/theme1.xml"/><Relationship Id="rId21" Type="http://schemas.openxmlformats.org/officeDocument/2006/relationships/numbering" Target="numbering.xml"/><Relationship Id="rId22" Type="http://schemas.openxmlformats.org/officeDocument/2006/relationships/styles" Target="style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wmf"/><Relationship Id="rId8" Type="http://schemas.openxmlformats.org/officeDocument/2006/relationships/image" Target="media/image4.png"/><Relationship Id="rId9" Type="http://schemas.openxmlformats.org/officeDocument/2006/relationships/image" Target="media/image5.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