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r>
        <w:rPr>
          <w:rFonts w:hint="eastAsia" w:ascii="Times New Roman" w:hAnsi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11557000</wp:posOffset>
            </wp:positionH>
            <wp:positionV relativeFrom="topMargin">
              <wp:posOffset>10248900</wp:posOffset>
            </wp:positionV>
            <wp:extent cx="482600" cy="381000"/>
            <wp:effectExtent l="0" t="0" r="0" b="0"/>
            <wp:wrapNone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</w:rPr>
        <w:t>南通市2024届高三第二次调研测试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r>
        <w:rPr>
          <w:rFonts w:hint="eastAsia" w:ascii="Times New Roman" w:hAnsi="Times New Roman"/>
          <w:b/>
          <w:sz w:val="32"/>
        </w:rPr>
        <w:t>地理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考生在答题前请认真阅读本注意事项及各题答题要求：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1．本试卷共8页，满分为100分，考试时间为75分钟。考试结束后，请将答题卡交回。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2．答题前，请务必将自己的姓名、准考证号用0.5毫米黑色墨水的签字笔填写在试卷及答题卡的规定位置。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3．请认真核对监考员在答题卡上所粘贴的条形码上的姓名、准考证号与本人是否相符。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作答选择题，必须用2B铅笔将答题卡上对应选项的方框涂满、涂黑；如需改动，请用橡皮擦干净后，再选涂其它答案。作答非选择题，必须用0.5毫米黑色墨水的签字笔在答题卡上的指定位置作答，在其它位置作答一律无效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5．如需作图，必须用2B铅笔绘、写清楚，线条、符号等须加黑、加粗。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一、单项选择题：共23题，每题2分，共46分。每题只有一个选项最符合题意。</w:t>
      </w:r>
    </w:p>
    <w:p>
      <w:pPr>
        <w:pStyle w:val="11"/>
      </w:pPr>
      <w:r>
        <w:rPr>
          <w:rFonts w:hint="eastAsia"/>
        </w:rPr>
        <w:t>图1为“2024年元旦部分地区北京时间整点时刻晨线位置示意图”。读图回答1～3题。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857500" cy="302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4544" cy="30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100" w:firstLineChars="10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图1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1．表示北京时间8:00的晨线是（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A．L</w:t>
      </w:r>
      <w:r>
        <w:rPr>
          <w:rFonts w:ascii="Cambria Math" w:hAnsi="Cambria Math" w:cs="Cambria Math"/>
        </w:rPr>
        <w:t>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B．L</w:t>
      </w:r>
      <w:r>
        <w:rPr>
          <w:rFonts w:ascii="Cambria Math" w:hAnsi="Cambria Math" w:cs="Cambria Math"/>
        </w:rPr>
        <w:t>₂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C．L</w:t>
      </w:r>
      <w:r>
        <w:rPr>
          <w:rFonts w:ascii="Cambria Math" w:hAnsi="Cambria Math" w:cs="Cambria Math"/>
        </w:rPr>
        <w:t>₃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D．L</w:t>
      </w:r>
      <w:r>
        <w:rPr>
          <w:rFonts w:ascii="Cambria Math" w:hAnsi="Cambria Math" w:cs="Cambria Math"/>
        </w:rPr>
        <w:t>₄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2．该日甲、乙两地的昼长差值约为（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A．40分钟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B．1小时20分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C．2小时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D．2小时40分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3．该日，甲、乙两地昼长不等的主要影响因素是（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A．地球形状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B．地球自转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C．距日距离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D．黄赤交角</w:t>
      </w:r>
    </w:p>
    <w:p>
      <w:pPr>
        <w:pStyle w:val="11"/>
      </w:pPr>
      <w:r>
        <w:rPr>
          <w:rFonts w:hint="eastAsia"/>
        </w:rPr>
        <w:t>我国东北地区某河发源于火山口湖泊，冬季湖泊封冻后便无水体溢出。该河全长78.6km，总落差1667m，瀑布多，含沙量少，冬季不冻。流域内平均海拔1034m，森林茂密，玄武岩地层广布。表1为“该河月平均径流量统计表”。据此回答4～5题。</w:t>
      </w:r>
    </w:p>
    <w:p>
      <w:pPr>
        <w:spacing w:line="288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表1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  <w:gridCol w:w="747"/>
        <w:gridCol w:w="747"/>
        <w:gridCol w:w="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月份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7月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8月</w:t>
            </w:r>
          </w:p>
        </w:tc>
        <w:tc>
          <w:tcPr>
            <w:tcW w:w="67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9月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10月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11月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径流量</w:t>
            </w:r>
            <w:r>
              <w:rPr>
                <w:rFonts w:ascii="Times New Roman" w:hAnsi="Times New Roman"/>
              </w:rPr>
              <w:t>（m³/s）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4.21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4.31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4.15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4.44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4.91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5.39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8.08</w:t>
            </w:r>
          </w:p>
        </w:tc>
        <w:tc>
          <w:tcPr>
            <w:tcW w:w="67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6.39</w:t>
            </w:r>
          </w:p>
        </w:tc>
        <w:tc>
          <w:tcPr>
            <w:tcW w:w="67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5.35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5.24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4.53</w:t>
            </w:r>
          </w:p>
        </w:tc>
        <w:tc>
          <w:tcPr>
            <w:tcW w:w="74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4.48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4．该河的主要补给类型是（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A．雨水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B．积雪融水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C．地下水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D．湖泊水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5．该河冬季不冻的主要影响因素是（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①补给类型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②河流比降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③河水深浅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④植被覆盖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A．①②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B．②③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C．③④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D．①④</w:t>
      </w:r>
    </w:p>
    <w:p>
      <w:pPr>
        <w:pStyle w:val="11"/>
      </w:pPr>
      <w:r>
        <w:rPr>
          <w:rFonts w:hint="eastAsia"/>
        </w:rPr>
        <w:t>冻雨是一种灾害性天气。通常是由于冷暖空气势力都很强大，形成对峙形势；高空水汽凝结形成冰晶；下降过程中至2000～3000多米高度的暖气流层融化为液态；而后至冷气流层形成过冷雨滴；到地表遇低于0℃的物体立刻冻结，形成冻雨。图2为“2024年2月4日我国冻雨区域预警图”。据此回答6～8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162300" cy="18643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8009" cy="18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520" w:firstLineChars="1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图2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6．该日，冻雨影响范围较大的省级行政区有（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A．渝、黔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B．黔、湘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C．湘、赣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D．赣、渝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7．与本次冻雨形成时气温垂直变化最相符的是（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739265" cy="1666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1152" cy="16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A．①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B．②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C．③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D．④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8．该日，甲地近地面、2000～3000多米高度风向分别为（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A．偏北风、西南风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B．偏西风、东南风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C．偏北风、偏东风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D．偏西风、偏东风</w:t>
      </w:r>
    </w:p>
    <w:p>
      <w:pPr>
        <w:pStyle w:val="11"/>
      </w:pPr>
      <w:r>
        <w:rPr>
          <w:rFonts w:hint="eastAsia"/>
        </w:rPr>
        <w:t>北冰洋海平面气压场主要受波弗特高压和冰岛低压影响，高低压之间形成贯穿北冰洋中部的穿极风。反气旋和穿极风分别驱动表层海水，形成波弗特环流和穿极流，沿途输送了大量海冰。穿极流流速随穿极风的季节变化而变化。图3为“波弗特环流和穿极流分布示意图”。据此回答9～11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267075" cy="3470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102" cy="348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520" w:firstLineChars="1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图3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9．波弗特高压中心位置约为（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A．72°N，160°E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B．72°N，160°W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C．76°N，145°W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D．76°N，145°E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10．表示穿极流流速季节变化的曲线是（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152775" cy="1797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3666" cy="18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A．①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B．②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C．③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D．④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11．甲～丁四处受海冰影响最小的是（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A．甲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D．丁</w:t>
      </w:r>
    </w:p>
    <w:p>
      <w:pPr>
        <w:pStyle w:val="11"/>
      </w:pPr>
      <w:r>
        <w:rPr>
          <w:rFonts w:hint="eastAsia"/>
        </w:rPr>
        <w:t>某谷地位于黄土高原和毛乌素沙地的过渡地带。图4为“该谷地植被分布示意图”。据此回答12～14题。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960495" cy="188595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975" cy="18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730" w:firstLineChars="13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图4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12．坡顶到沟谷植被变化体现了（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A．纬度地带性分异规律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B．垂直分异规律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C．干湿度地带性分异规律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D．地方性分异规律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13．影响该谷地植被分异的主要因素是（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A．热量条件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B．降水状况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C．坡度陡缓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D．土壤组分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14．该地地带性植被的主要特征是（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A．群落结构复杂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B．季相变化明显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C．植株粗壮茂密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D．叶面宽大肥厚</w:t>
      </w:r>
    </w:p>
    <w:p>
      <w:pPr>
        <w:pStyle w:val="11"/>
      </w:pPr>
      <w:r>
        <w:rPr>
          <w:rFonts w:hint="eastAsia"/>
        </w:rPr>
        <w:t>研究人口时空演化特征有利于促进区域可持续发展。图5为“2013～2017年珠江—西江经济带人口密度年均变化图”。据此回答15～17题。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086225" cy="1564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4889" cy="15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730" w:firstLineChars="13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图5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15．2013～2017年该经济带内人口（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A．增长方式单一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B．增长速率相近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C．分布差异减小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D．集聚程度增强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16．南宁和崇左人口密度年均变化存在差异的主要影响因素是（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A．距广州远近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B．城镇化水平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C．家庭生育观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D．水运通达度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17．为优化人口分布格局，该经济带应（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A．加强区域分工协作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B．加快自然资源开发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C．遏制人口快速流动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D．改善上游生态环境</w:t>
      </w:r>
    </w:p>
    <w:p>
      <w:pPr>
        <w:pStyle w:val="11"/>
      </w:pPr>
      <w:r>
        <w:rPr>
          <w:rFonts w:hint="eastAsia"/>
        </w:rPr>
        <w:t>某千年堡垒古村位于摩洛哥南部山区的独立山丘上，该处曾是古代重要关口，守卫着穿越撒哈拉沙漠的重要商路。村落以土坯建筑、迷宫般的街道和高大城墙为特色，是世界文化遗产，成为电影取景和旅游胜地。近年来，村民集体搬迁至山坡下乌尼拉河对岸的新村。图6为“该古村及新村景观”。据此回答18～20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886075" cy="15938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99" cy="159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1995" w:firstLineChars="9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图6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18．该村建设初期的主要功能是居住和（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A．防御外敌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B．商业贸易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C．文化传播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D．手工制作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19．该村现代服务业蓬勃发展的主要区位因素是（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A．地理位置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B．资源禀赋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C．产业基础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D．配套服务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20．在乌尼拉河对岸建设新村，对古村的主要影响是（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A．改善人居环境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B．传承民俗文化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C．保护传统建筑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D．方便对外联系</w:t>
      </w:r>
    </w:p>
    <w:p>
      <w:pPr>
        <w:pStyle w:val="11"/>
      </w:pPr>
      <w:r>
        <w:rPr>
          <w:rFonts w:hint="eastAsia"/>
        </w:rPr>
        <w:t>江苏省拥有漫长的海岸线，多为淤泥质海岸，滩涂广阔，开发历史悠久，其土地利用受自然和人类活动共同影响。图7为“元明时期以来江苏海岸线变迁示意图”。据此回答21～23题。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896360" cy="26955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2240" cy="26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940" w:firstLineChars="14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图7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21．江苏沿海北部岸线发生变化的主要原因是（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A．气候变化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B．河道变迁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C．地壳运动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D．风暴侵扰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22．自元明时期以来，江苏沿海滩涂主要利用方式的演变顺序是（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A．垒灶煮盐、垦荒植棉、围海养殖、临海工业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B．垦荒植棉、垒灶煮盐、临海工业、围海养殖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C．垦荒植棉、围海养殖、垒灶煮盐、临海工业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D．垒灶煮盐、垦荒植棉、临海工业、围海养殖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23．为促进江苏沿海滩涂的可持续利用，应（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A．禁止滩涂养殖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B．外迁临海工业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C．限制围滩造陆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D．实施铺沙护滩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二、非选择题：共3题，共54分。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24．阅读材料，回答下列问题。（18分）</w:t>
      </w:r>
    </w:p>
    <w:p>
      <w:pPr>
        <w:pStyle w:val="11"/>
      </w:pPr>
      <w:r>
        <w:rPr>
          <w:rFonts w:hint="eastAsia"/>
        </w:rPr>
        <w:t>材料一  金沙江上游巴塘段位于青藏高原东南缘，属干热河谷，区内有两条活动断裂带。该河段曾因大型滑坡堵江，形成古堰塞湖。该湖存在上千年后发生了漫顶式溃决，在下游形成大规模堆积体，堰塞坝溃决后仍有部分残留于金沙江两侧。</w:t>
      </w:r>
    </w:p>
    <w:p>
      <w:pPr>
        <w:pStyle w:val="11"/>
      </w:pPr>
      <w:r>
        <w:rPr>
          <w:rFonts w:hint="eastAsia"/>
        </w:rPr>
        <w:t>材料二  图8为“该古滑坡及其周边区域遥感影像图”。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629275" cy="31692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126" cy="317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305" w:firstLineChars="20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图8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（1）描述该河谷地貌景观特征。（6分）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（2）简析古堰塞体产生的主要条件。（6分）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（3）推测甲、乙、丙堆积体形成的先后顺序并指出乙较甲堆积物特征的差异。（6分）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25．阅读材料，回答下列问题。（18分）</w:t>
      </w:r>
    </w:p>
    <w:p>
      <w:pPr>
        <w:pStyle w:val="11"/>
      </w:pPr>
      <w:r>
        <w:rPr>
          <w:rFonts w:hint="eastAsia"/>
        </w:rPr>
        <w:t>材料一  刚果（金）位于非洲中西部，2023年人口达1.02亿，以农业、采矿业为主。该国拥有全球规模最大、品位最高、可露天开采的铜钴矿，开发前景巨大。图9为“刚果（金）铜钴矿分布区位置示意图”。</w:t>
      </w:r>
    </w:p>
    <w:p>
      <w:pPr>
        <w:pStyle w:val="11"/>
      </w:pPr>
      <w:r>
        <w:rPr>
          <w:rFonts w:hint="eastAsia"/>
        </w:rPr>
        <w:t>材料二  铜、钴都属于战略性矿产资源，广泛应用于航空航天、新能源、电子电器等行业。我国铜、钻资源对外依存度高，洛阳钼业积极融入“一带一路”建设，投资刚果（金）某铜钴矿开发项目，业务范围覆盖铜、钴矿石的勘探、开采、提炼、初级加工和销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829050" cy="34912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5524" cy="34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3150" w:firstLineChars="15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图9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（1）从生产成本的角度，简述洛阳钼业在刚果（金）投资该项目的有利区位条件。（6分）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（2）简析洛阳钼业在刚果（金）投资该项目对当地产业发展的有利影响。（6分）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（3）说明洛阳钼业在刚果（金）投资该项目对保障我国国家安全的意义。（6分）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26．阅读材料，回答下列问题。（18分）</w:t>
      </w:r>
    </w:p>
    <w:p>
      <w:pPr>
        <w:pStyle w:val="11"/>
      </w:pPr>
      <w:r>
        <w:rPr>
          <w:rFonts w:hint="eastAsia"/>
        </w:rPr>
        <w:t>材料一  我国境内的帕米尔高原由高原山地和山间盆地构成。高原山地海拔超过5000m；山间盆地海拔3200～4200m，年降水量仅75～100mm。当地种植业规模很小，以游牧业为主，牧民在不同海拔间转场放牧。</w:t>
      </w:r>
    </w:p>
    <w:p>
      <w:pPr>
        <w:pStyle w:val="11"/>
      </w:pPr>
      <w:r>
        <w:rPr>
          <w:rFonts w:hint="eastAsia"/>
        </w:rPr>
        <w:t>材料二  图10为“我国境内的帕米尔高原山间盆地湿地景观”。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151630" cy="272478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0647" cy="27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2730" w:firstLineChars="13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图10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（1）简析该区域山间盆地种植业规模小的自然原因。（6分）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（2）有学者认为，当地游牧生产方式体现了人与自然和谐发展。试阐释这一观点。（6分）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（3）为因地制宜发展农业，提高农民收入，你认为当地可采取哪些农业技术措施？（6分）</w:t>
      </w:r>
    </w:p>
    <w:p>
      <w:pPr>
        <w:spacing w:line="288" w:lineRule="auto"/>
        <w:jc w:val="center"/>
        <w:rPr>
          <w:rFonts w:ascii="Times New Roman" w:hAnsi="Times New Roman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</w:rPr>
        <w:sectPr>
          <w:pgSz w:w="11906" w:h="16838"/>
          <w:pgMar w:top="1304" w:right="964" w:bottom="1304" w:left="964" w:header="153" w:footer="0" w:gutter="0"/>
          <w:cols w:space="720" w:num="1"/>
          <w:docGrid w:type="lines" w:linePitch="312" w:charSpace="0"/>
        </w:sect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rFonts w:hint="eastAsia" w:ascii="Times New Roman" w:hAnsi="Times New Roman"/>
          <w:b/>
          <w:sz w:val="32"/>
        </w:rPr>
        <w:t>2024届高三第二次调研测试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r>
        <w:rPr>
          <w:rFonts w:hint="eastAsia" w:ascii="Times New Roman" w:hAnsi="Times New Roman"/>
          <w:b/>
          <w:sz w:val="32"/>
        </w:rPr>
        <w:t>地理参考答案及评分标准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一、选择题：共23题，每题2分，共46分。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1．C   2．D   3．D   4．C   5．A   6．B   7．B   8．A   9．C   10．A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11．D   12．D   13．D   14．B   15．D   16．B   17．A   18．A   19．B   20．C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21．B   22．A   23．C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二、非选择题：共3小题，共54分。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24．（18分）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（1）山高谷深；峭壁耸立；河谷呈“V”形（6分）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（2）断裂构造发育，地壳运动频繁；气候干热，风化作用强烈；碎石物质多；（任答2点，得4分）河谷陡峻，坡面物质不稳，滑坡堵江形成堰塞体（2分）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（3）乙、甲、丙（2分）粒径大；大小混杂；厚度大（任答2点，得4分）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25．（18分）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（1）铜钴矿埋藏浅、储量大、品位高，开采和提纯成本低；劳动力丰富且廉价；土地成本低；靠近原料地，原料运输成本低（任答3点，得6分）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（2）提高铜钴产业技术水平；延长产业链；带动生产性服务业发展；优化产业结构（任答3点，得6分）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（3）拓宽进口渠道，保障战略性资源安全；保障相关产业原料供给，维护经济安全；加强与投资国共建共享，构建稳定的国际环境，保障国防安全（6分）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26．（18分）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（1）海拔高，热量不足；冻土广布；夏季河水泛滥，易积水；蒸发旺盛，盐土广布（任答3点，得6分）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（2）有高寒草甸，宜发展高寒畜牧业；牧草稀疏，载畜量有限，需逐草游牧；不同海拔牧草生长期不同，需转场轮牧；转场放牧有利于保护和持续利用草场资源（任答3点，得6分）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（3）培育良种牲畜；种植耐寒适生牧草；发展设施农业（6分）</w:t>
      </w:r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460FF"/>
    <w:rsid w:val="00054E7B"/>
    <w:rsid w:val="00087708"/>
    <w:rsid w:val="000E4D02"/>
    <w:rsid w:val="000E4FF1"/>
    <w:rsid w:val="001177F3"/>
    <w:rsid w:val="00153D50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678C5"/>
    <w:rsid w:val="0049183B"/>
    <w:rsid w:val="00492942"/>
    <w:rsid w:val="004B44B5"/>
    <w:rsid w:val="004D44FD"/>
    <w:rsid w:val="004F407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84DBC"/>
    <w:rsid w:val="00893DD6"/>
    <w:rsid w:val="008D2E94"/>
    <w:rsid w:val="009121D7"/>
    <w:rsid w:val="00974E0F"/>
    <w:rsid w:val="00982128"/>
    <w:rsid w:val="009A27BF"/>
    <w:rsid w:val="009B5666"/>
    <w:rsid w:val="009C4252"/>
    <w:rsid w:val="009F5EA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2BD2"/>
    <w:rsid w:val="00CA4A07"/>
    <w:rsid w:val="00D51257"/>
    <w:rsid w:val="00D634C2"/>
    <w:rsid w:val="00D7140D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74F6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阅读"/>
    <w:link w:val="12"/>
    <w:qFormat/>
    <w:uiPriority w:val="0"/>
    <w:pPr>
      <w:spacing w:line="288" w:lineRule="auto"/>
      <w:ind w:firstLine="420" w:firstLineChars="200"/>
    </w:pPr>
    <w:rPr>
      <w:rFonts w:ascii="Times New Roman" w:hAnsi="Times New Roman" w:eastAsia="楷体" w:cs="Times New Roman"/>
      <w:kern w:val="2"/>
      <w:sz w:val="21"/>
      <w:szCs w:val="24"/>
      <w:lang w:val="en-US" w:eastAsia="zh-CN" w:bidi="ar-SA"/>
    </w:rPr>
  </w:style>
  <w:style w:type="character" w:customStyle="1" w:styleId="12">
    <w:name w:val="阅读 Char"/>
    <w:basedOn w:val="6"/>
    <w:link w:val="11"/>
    <w:uiPriority w:val="0"/>
    <w:rPr>
      <w:rFonts w:ascii="Times New Roman" w:hAnsi="Times New Roman" w:eastAsia="楷体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7E8FC-B692-4741-BAA0-2EC4B0D4BD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2024-03-25T09:06:05Z</dcterms:created>
  <dcterms:modified xsi:type="dcterms:W3CDTF">2024-03-25T09:06:16Z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5676F796583C4ED686CF5CB09CEA6A5A_12</vt:lpwstr>
  </property>
</Properties>
</file>