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3945" w:right="322" w:hanging="1240"/>
        <w:spacing w:before="81" w:line="292" w:lineRule="auto"/>
        <w:outlineLvl w:val="0"/>
        <w:rPr>
          <w:rFonts w:ascii="SimHei" w:hAnsi="SimHei" w:eastAsia="SimHei" w:cs="SimHei"/>
          <w:sz w:val="45"/>
          <w:szCs w:val="45"/>
        </w:rPr>
      </w:pPr>
      <w:r>
        <w:rPr>
          <w:sz w:val="41"/>
          <w:szCs w:val="41"/>
          <w:b/>
          <w:bCs/>
          <w:spacing w:val="6"/>
        </w:rPr>
        <w:t>2023～2024学年度高二12月质量检测</w:t>
      </w:r>
      <w:r>
        <w:rPr>
          <w:sz w:val="41"/>
          <w:szCs w:val="41"/>
          <w:spacing w:val="14"/>
        </w:rPr>
        <w:t xml:space="preserve"> </w:t>
      </w:r>
      <w:r>
        <w:rPr>
          <w:rFonts w:ascii="SimHei" w:hAnsi="SimHei" w:eastAsia="SimHei" w:cs="SimHei"/>
          <w:sz w:val="45"/>
          <w:szCs w:val="45"/>
          <w:b/>
          <w:bCs/>
          <w:spacing w:val="-13"/>
        </w:rPr>
        <w:t>历</w:t>
      </w:r>
      <w:r>
        <w:rPr>
          <w:rFonts w:ascii="SimHei" w:hAnsi="SimHei" w:eastAsia="SimHei" w:cs="SimHei"/>
          <w:sz w:val="45"/>
          <w:szCs w:val="45"/>
          <w:spacing w:val="16"/>
        </w:rPr>
        <w:t xml:space="preserve">    </w:t>
      </w:r>
      <w:r>
        <w:rPr>
          <w:rFonts w:ascii="SimHei" w:hAnsi="SimHei" w:eastAsia="SimHei" w:cs="SimHei"/>
          <w:sz w:val="45"/>
          <w:szCs w:val="45"/>
          <w:b/>
          <w:bCs/>
          <w:spacing w:val="-13"/>
        </w:rPr>
        <w:t>史</w:t>
      </w:r>
    </w:p>
    <w:p>
      <w:pPr>
        <w:spacing w:line="270" w:lineRule="auto"/>
        <w:rPr>
          <w:rFonts w:ascii="Arial"/>
          <w:sz w:val="21"/>
        </w:rPr>
      </w:pPr>
      <w:r/>
    </w:p>
    <w:p>
      <w:pPr>
        <w:ind w:left="2759"/>
        <w:spacing w:before="78" w:line="220" w:lineRule="auto"/>
        <w:rPr>
          <w:rFonts w:ascii="KaiTi" w:hAnsi="KaiTi" w:eastAsia="KaiTi" w:cs="KaiTi"/>
          <w:sz w:val="24"/>
          <w:szCs w:val="24"/>
        </w:rPr>
      </w:pPr>
      <w:r>
        <w:rPr>
          <w:rFonts w:ascii="KaiTi" w:hAnsi="KaiTi" w:eastAsia="KaiTi" w:cs="KaiTi"/>
          <w:sz w:val="24"/>
          <w:szCs w:val="24"/>
          <w:spacing w:val="33"/>
        </w:rPr>
        <w:t>全卷满分100分，考试时间75分钟。</w:t>
      </w:r>
    </w:p>
    <w:p>
      <w:pPr>
        <w:spacing w:line="407" w:lineRule="auto"/>
        <w:rPr>
          <w:rFonts w:ascii="Arial"/>
          <w:sz w:val="21"/>
        </w:rPr>
      </w:pPr>
      <w:r/>
    </w:p>
    <w:p>
      <w:pPr>
        <w:ind w:left="3"/>
        <w:spacing w:before="78" w:line="222" w:lineRule="auto"/>
        <w:rPr>
          <w:rFonts w:ascii="SimHei" w:hAnsi="SimHei" w:eastAsia="SimHei" w:cs="SimHei"/>
          <w:sz w:val="24"/>
          <w:szCs w:val="24"/>
        </w:rPr>
      </w:pPr>
      <w:r>
        <w:rPr>
          <w:rFonts w:ascii="SimHei" w:hAnsi="SimHei" w:eastAsia="SimHei" w:cs="SimHei"/>
          <w:sz w:val="24"/>
          <w:szCs w:val="24"/>
          <w:b/>
          <w:bCs/>
          <w:spacing w:val="18"/>
        </w:rPr>
        <w:t>注意事项：</w:t>
      </w:r>
    </w:p>
    <w:p>
      <w:pPr>
        <w:ind w:left="729" w:right="112" w:hanging="250"/>
        <w:spacing w:before="65" w:line="249" w:lineRule="auto"/>
        <w:rPr>
          <w:rFonts w:ascii="KaiTi" w:hAnsi="KaiTi" w:eastAsia="KaiTi" w:cs="KaiTi"/>
          <w:sz w:val="24"/>
          <w:szCs w:val="24"/>
        </w:rPr>
      </w:pPr>
      <w:r>
        <w:rPr>
          <w:rFonts w:ascii="KaiTi" w:hAnsi="KaiTi" w:eastAsia="KaiTi" w:cs="KaiTi"/>
          <w:sz w:val="24"/>
          <w:szCs w:val="24"/>
          <w:spacing w:val="-9"/>
        </w:rPr>
        <w:t>1.答题前，先将自己的姓名、准考证号填写在试卷和答题卡上，并将条形码粘贴</w:t>
      </w:r>
      <w:r>
        <w:rPr>
          <w:rFonts w:ascii="KaiTi" w:hAnsi="KaiTi" w:eastAsia="KaiTi" w:cs="KaiTi"/>
          <w:sz w:val="24"/>
          <w:szCs w:val="24"/>
          <w:spacing w:val="-10"/>
        </w:rPr>
        <w:t>在答题卡上</w:t>
      </w:r>
      <w:r>
        <w:rPr>
          <w:rFonts w:ascii="KaiTi" w:hAnsi="KaiTi" w:eastAsia="KaiTi" w:cs="KaiTi"/>
          <w:sz w:val="24"/>
          <w:szCs w:val="24"/>
        </w:rPr>
        <w:t xml:space="preserve"> </w:t>
      </w:r>
      <w:r>
        <w:rPr>
          <w:rFonts w:ascii="KaiTi" w:hAnsi="KaiTi" w:eastAsia="KaiTi" w:cs="KaiTi"/>
          <w:sz w:val="24"/>
          <w:szCs w:val="24"/>
          <w:spacing w:val="-14"/>
        </w:rPr>
        <w:t>的指定位置，</w:t>
      </w:r>
    </w:p>
    <w:p>
      <w:pPr>
        <w:ind w:left="729" w:right="102" w:hanging="250"/>
        <w:spacing w:before="83" w:line="262" w:lineRule="auto"/>
        <w:rPr>
          <w:rFonts w:ascii="KaiTi" w:hAnsi="KaiTi" w:eastAsia="KaiTi" w:cs="KaiTi"/>
          <w:sz w:val="24"/>
          <w:szCs w:val="24"/>
        </w:rPr>
      </w:pPr>
      <w:r>
        <w:rPr>
          <w:rFonts w:ascii="KaiTi" w:hAnsi="KaiTi" w:eastAsia="KaiTi" w:cs="KaiTi"/>
          <w:sz w:val="24"/>
          <w:szCs w:val="24"/>
          <w:spacing w:val="-3"/>
        </w:rPr>
        <w:t>2.请按题号顺序在答题卡上各题目的答题区域内作答，写在试卷、草稿纸和答题</w:t>
      </w:r>
      <w:r>
        <w:rPr>
          <w:rFonts w:ascii="KaiTi" w:hAnsi="KaiTi" w:eastAsia="KaiTi" w:cs="KaiTi"/>
          <w:sz w:val="24"/>
          <w:szCs w:val="24"/>
          <w:spacing w:val="-4"/>
        </w:rPr>
        <w:t>卡上的非</w:t>
      </w:r>
      <w:r>
        <w:rPr>
          <w:rFonts w:ascii="KaiTi" w:hAnsi="KaiTi" w:eastAsia="KaiTi" w:cs="KaiTi"/>
          <w:sz w:val="24"/>
          <w:szCs w:val="24"/>
        </w:rPr>
        <w:t xml:space="preserve"> </w:t>
      </w:r>
      <w:r>
        <w:rPr>
          <w:rFonts w:ascii="KaiTi" w:hAnsi="KaiTi" w:eastAsia="KaiTi" w:cs="KaiTi"/>
          <w:sz w:val="24"/>
          <w:szCs w:val="24"/>
          <w:spacing w:val="-9"/>
        </w:rPr>
        <w:t>答题区域均无效。</w:t>
      </w:r>
    </w:p>
    <w:p>
      <w:pPr>
        <w:pStyle w:val="BodyText"/>
        <w:ind w:left="729" w:right="89" w:hanging="250"/>
        <w:spacing w:before="38" w:line="256" w:lineRule="auto"/>
        <w:rPr/>
      </w:pPr>
      <w:r>
        <w:rPr>
          <w:spacing w:val="1"/>
        </w:rPr>
        <w:t>3.选择题用2B</w:t>
      </w:r>
      <w:r>
        <w:rPr>
          <w:spacing w:val="-31"/>
        </w:rPr>
        <w:t xml:space="preserve"> </w:t>
      </w:r>
      <w:r>
        <w:rPr>
          <w:spacing w:val="1"/>
        </w:rPr>
        <w:t>铅笔在答题卡上把所选答案的标号涂黑；非选择题用黑色签字笔在答题卡</w:t>
      </w:r>
      <w:r>
        <w:rPr/>
        <w:t xml:space="preserve"> </w:t>
      </w:r>
      <w:r>
        <w:rPr>
          <w:spacing w:val="-20"/>
        </w:rPr>
        <w:t>上作答；字体工整，笔迹清楚。</w:t>
      </w:r>
    </w:p>
    <w:p>
      <w:pPr>
        <w:pStyle w:val="BodyText"/>
        <w:ind w:left="479"/>
        <w:spacing w:before="86" w:line="219" w:lineRule="auto"/>
        <w:rPr/>
      </w:pPr>
      <w:r>
        <w:rPr>
          <w:spacing w:val="-8"/>
        </w:rPr>
        <w:t>4.考试结束后，请将试卷和答题卡一并上交。</w:t>
      </w:r>
    </w:p>
    <w:p>
      <w:pPr>
        <w:spacing w:line="319" w:lineRule="auto"/>
        <w:rPr>
          <w:rFonts w:ascii="Arial"/>
          <w:sz w:val="21"/>
        </w:rPr>
      </w:pPr>
      <w:r/>
    </w:p>
    <w:p>
      <w:pPr>
        <w:ind w:left="3"/>
        <w:spacing w:before="78" w:line="213" w:lineRule="auto"/>
        <w:rPr>
          <w:rFonts w:ascii="SimHei" w:hAnsi="SimHei" w:eastAsia="SimHei" w:cs="SimHei"/>
          <w:sz w:val="24"/>
          <w:szCs w:val="24"/>
        </w:rPr>
      </w:pPr>
      <w:r>
        <w:rPr>
          <w:rFonts w:ascii="SimHei" w:hAnsi="SimHei" w:eastAsia="SimHei" w:cs="SimHei"/>
          <w:sz w:val="24"/>
          <w:szCs w:val="24"/>
          <w:b/>
          <w:bCs/>
          <w:spacing w:val="-13"/>
        </w:rPr>
        <w:t>一、选择题：本大题共16小题，每小题3分，共48分。每小题只有一个选项是符合题目要求的。</w:t>
      </w:r>
    </w:p>
    <w:p>
      <w:pPr>
        <w:pStyle w:val="BodyText"/>
        <w:ind w:left="270" w:right="107" w:hanging="270"/>
        <w:spacing w:before="209" w:line="369" w:lineRule="auto"/>
        <w:rPr/>
      </w:pPr>
      <w:r>
        <w:rPr>
          <w:spacing w:val="-24"/>
        </w:rPr>
        <w:t>1.春秋时期，齐国政治家管仲提出，“所谓老老者，凡国、都皆有掌老，年七十已上，</w:t>
      </w:r>
      <w:r>
        <w:rPr>
          <w:spacing w:val="57"/>
        </w:rPr>
        <w:t xml:space="preserve"> </w:t>
      </w:r>
      <w:r>
        <w:rPr>
          <w:spacing w:val="-24"/>
        </w:rPr>
        <w:t>一子无征，三</w:t>
      </w:r>
      <w:r>
        <w:rPr/>
        <w:t xml:space="preserve"> </w:t>
      </w:r>
      <w:r>
        <w:rPr>
          <w:spacing w:val="-25"/>
        </w:rPr>
        <w:t>月有馈肉；八十已上，二子无征，月有馈肉；九十已上，</w:t>
      </w:r>
      <w:r>
        <w:rPr>
          <w:spacing w:val="-26"/>
        </w:rPr>
        <w:t>尽家无征，日有酒肉。死，上共棺椁。”据</w:t>
      </w:r>
    </w:p>
    <w:p>
      <w:pPr>
        <w:pStyle w:val="BodyText"/>
        <w:ind w:left="270"/>
        <w:spacing w:before="1" w:line="219" w:lineRule="auto"/>
        <w:rPr/>
      </w:pPr>
      <w:r>
        <w:rPr>
          <w:spacing w:val="-16"/>
        </w:rPr>
        <w:t>此可知，管仲意在</w:t>
      </w:r>
    </w:p>
    <w:p>
      <w:pPr>
        <w:pStyle w:val="BodyText"/>
        <w:ind w:left="479"/>
        <w:spacing w:before="173" w:line="219" w:lineRule="auto"/>
        <w:rPr/>
      </w:pPr>
      <w:r>
        <w:rPr>
          <w:rFonts w:ascii="Times New Roman" w:hAnsi="Times New Roman" w:eastAsia="Times New Roman" w:cs="Times New Roman"/>
          <w:spacing w:val="-12"/>
        </w:rPr>
        <w:t>A. </w:t>
      </w:r>
      <w:r>
        <w:rPr>
          <w:spacing w:val="-12"/>
        </w:rPr>
        <w:t>推行“休养生息”政策</w:t>
      </w:r>
      <w:r>
        <w:rPr>
          <w:spacing w:val="6"/>
        </w:rPr>
        <w:t xml:space="preserve">                   </w:t>
      </w:r>
      <w:r>
        <w:rPr>
          <w:rFonts w:ascii="Times New Roman" w:hAnsi="Times New Roman" w:eastAsia="Times New Roman" w:cs="Times New Roman"/>
          <w:spacing w:val="-12"/>
        </w:rPr>
        <w:t>B.</w:t>
      </w:r>
      <w:r>
        <w:rPr>
          <w:rFonts w:ascii="Times New Roman" w:hAnsi="Times New Roman" w:eastAsia="Times New Roman" w:cs="Times New Roman"/>
          <w:spacing w:val="-15"/>
        </w:rPr>
        <w:t xml:space="preserve"> </w:t>
      </w:r>
      <w:r>
        <w:rPr>
          <w:spacing w:val="-12"/>
        </w:rPr>
        <w:t>倡导尊老敬老的社会风尚</w:t>
      </w:r>
    </w:p>
    <w:p>
      <w:pPr>
        <w:pStyle w:val="BodyText"/>
        <w:ind w:left="479"/>
        <w:spacing w:before="196" w:line="219" w:lineRule="auto"/>
        <w:rPr/>
      </w:pPr>
      <w:r>
        <w:rPr>
          <w:rFonts w:ascii="Times New Roman" w:hAnsi="Times New Roman" w:eastAsia="Times New Roman" w:cs="Times New Roman"/>
          <w:spacing w:val="-1"/>
        </w:rPr>
        <w:t>C.</w:t>
      </w:r>
      <w:r>
        <w:rPr>
          <w:rFonts w:ascii="Times New Roman" w:hAnsi="Times New Roman" w:eastAsia="Times New Roman" w:cs="Times New Roman"/>
          <w:spacing w:val="-6"/>
        </w:rPr>
        <w:t xml:space="preserve"> </w:t>
      </w:r>
      <w:r>
        <w:rPr>
          <w:spacing w:val="-1"/>
        </w:rPr>
        <w:t>维护儒家尊卑等级秩序</w:t>
      </w:r>
      <w:r>
        <w:rPr>
          <w:spacing w:val="6"/>
        </w:rPr>
        <w:t xml:space="preserve">                 </w:t>
      </w:r>
      <w:r>
        <w:rPr>
          <w:rFonts w:ascii="Times New Roman" w:hAnsi="Times New Roman" w:eastAsia="Times New Roman" w:cs="Times New Roman"/>
          <w:spacing w:val="-1"/>
        </w:rPr>
        <w:t>D. </w:t>
      </w:r>
      <w:r>
        <w:rPr>
          <w:spacing w:val="-1"/>
        </w:rPr>
        <w:t>建立完善的社会保障体系</w:t>
      </w:r>
    </w:p>
    <w:p>
      <w:pPr>
        <w:pStyle w:val="BodyText"/>
        <w:spacing w:before="143" w:line="504" w:lineRule="exact"/>
        <w:rPr/>
      </w:pPr>
      <w:r>
        <w:rPr>
          <w:spacing w:val="-10"/>
          <w:position w:val="20"/>
        </w:rPr>
        <w:t>2.下图为汉代画像砖《弋射收获图》(局部),</w:t>
      </w:r>
      <w:r>
        <w:rPr>
          <w:spacing w:val="-11"/>
          <w:position w:val="20"/>
        </w:rPr>
        <w:t>此图表明当时收获水稻是先割谷穗，再刈谷草，在割</w:t>
      </w:r>
    </w:p>
    <w:p>
      <w:pPr>
        <w:pStyle w:val="BodyText"/>
        <w:ind w:left="270"/>
        <w:spacing w:line="220" w:lineRule="auto"/>
        <w:rPr/>
      </w:pPr>
      <w:r>
        <w:rPr>
          <w:spacing w:val="-1"/>
        </w:rPr>
        <w:t>谷穗的同时进行选种。此图反映了当时</w:t>
      </w:r>
    </w:p>
    <w:p>
      <w:pPr>
        <w:ind w:firstLine="2839"/>
        <w:spacing w:before="184" w:line="1410" w:lineRule="exact"/>
        <w:rPr/>
      </w:pPr>
      <w:r>
        <w:rPr>
          <w:position w:val="-28"/>
        </w:rPr>
        <w:drawing>
          <wp:inline distT="0" distB="0" distL="0" distR="0">
            <wp:extent cx="2603516" cy="895358"/>
            <wp:effectExtent l="0" t="0" r="0" b="0"/>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2603516" cy="895358"/>
                    </a:xfrm>
                    <a:prstGeom prst="rect">
                      <a:avLst/>
                    </a:prstGeom>
                  </pic:spPr>
                </pic:pic>
              </a:graphicData>
            </a:graphic>
          </wp:inline>
        </w:drawing>
      </w:r>
    </w:p>
    <w:p>
      <w:pPr>
        <w:spacing w:line="220" w:lineRule="exact"/>
        <w:rPr/>
      </w:pPr>
      <w:r/>
    </w:p>
    <w:p>
      <w:pPr>
        <w:spacing w:line="220" w:lineRule="exact"/>
        <w:sectPr>
          <w:pgSz w:w="11900" w:h="16840"/>
          <w:pgMar w:top="1078" w:right="1000" w:bottom="0" w:left="1080" w:header="0" w:footer="0" w:gutter="0"/>
          <w:cols w:equalWidth="0" w:num="1">
            <w:col w:w="9820" w:space="0"/>
          </w:cols>
        </w:sectPr>
        <w:rPr/>
      </w:pPr>
    </w:p>
    <w:p>
      <w:pPr>
        <w:pStyle w:val="BodyText"/>
        <w:ind w:left="479"/>
        <w:spacing w:before="109" w:line="460" w:lineRule="exact"/>
        <w:rPr/>
      </w:pPr>
      <w:r>
        <w:rPr>
          <w:rFonts w:ascii="Times New Roman" w:hAnsi="Times New Roman" w:eastAsia="Times New Roman" w:cs="Times New Roman"/>
          <w:spacing w:val="-1"/>
          <w:position w:val="16"/>
        </w:rPr>
        <w:t>A.</w:t>
      </w:r>
      <w:r>
        <w:rPr>
          <w:rFonts w:ascii="Times New Roman" w:hAnsi="Times New Roman" w:eastAsia="Times New Roman" w:cs="Times New Roman"/>
          <w:spacing w:val="-21"/>
          <w:position w:val="16"/>
        </w:rPr>
        <w:t xml:space="preserve"> </w:t>
      </w:r>
      <w:r>
        <w:rPr>
          <w:spacing w:val="-1"/>
          <w:position w:val="16"/>
        </w:rPr>
        <w:t>土地公有制下的集体劳作</w:t>
      </w:r>
    </w:p>
    <w:p>
      <w:pPr>
        <w:pStyle w:val="BodyText"/>
        <w:ind w:left="479"/>
        <w:spacing w:before="1" w:line="184" w:lineRule="auto"/>
        <w:rPr/>
      </w:pPr>
      <w:r>
        <w:rPr>
          <w:rFonts w:ascii="Times New Roman" w:hAnsi="Times New Roman" w:eastAsia="Times New Roman" w:cs="Times New Roman"/>
        </w:rPr>
        <w:t>C.</w:t>
      </w:r>
      <w:r>
        <w:rPr>
          <w:rFonts w:ascii="Times New Roman" w:hAnsi="Times New Roman" w:eastAsia="Times New Roman" w:cs="Times New Roman"/>
          <w:spacing w:val="-29"/>
        </w:rPr>
        <w:t xml:space="preserve"> </w:t>
      </w:r>
      <w:r>
        <w:rPr/>
        <w:t>农业生产商品化趋势加强</w:t>
      </w:r>
    </w:p>
    <w:p>
      <w:pPr>
        <w:spacing w:line="14" w:lineRule="auto"/>
        <w:rPr>
          <w:rFonts w:ascii="Arial"/>
          <w:sz w:val="2"/>
        </w:rPr>
      </w:pPr>
      <w:r>
        <w:rPr>
          <w:rFonts w:ascii="Arial" w:hAnsi="Arial" w:eastAsia="Arial" w:cs="Arial"/>
          <w:sz w:val="2"/>
          <w:szCs w:val="2"/>
        </w:rPr>
        <w:br w:type="column"/>
      </w:r>
    </w:p>
    <w:p>
      <w:pPr>
        <w:pStyle w:val="BodyText"/>
        <w:spacing w:before="47" w:line="470" w:lineRule="exact"/>
        <w:rPr/>
      </w:pPr>
      <w:r>
        <w:rPr>
          <w:rFonts w:ascii="Times New Roman" w:hAnsi="Times New Roman" w:eastAsia="Times New Roman" w:cs="Times New Roman"/>
          <w:position w:val="17"/>
        </w:rPr>
        <w:t>B.</w:t>
      </w:r>
      <w:r>
        <w:rPr>
          <w:position w:val="17"/>
        </w:rPr>
        <w:t>粮食产量的逐步提高</w:t>
      </w:r>
    </w:p>
    <w:p>
      <w:pPr>
        <w:pStyle w:val="BodyText"/>
        <w:spacing w:before="1" w:line="218" w:lineRule="auto"/>
        <w:rPr/>
      </w:pPr>
      <w:r>
        <w:rPr>
          <w:spacing w:val="-3"/>
        </w:rPr>
        <w:t>D.精耕细作农业的发展</w:t>
      </w:r>
    </w:p>
    <w:p>
      <w:pPr>
        <w:spacing w:line="218" w:lineRule="auto"/>
        <w:sectPr>
          <w:type w:val="continuous"/>
          <w:pgSz w:w="11900" w:h="16840"/>
          <w:pgMar w:top="1078" w:right="1000" w:bottom="0" w:left="1080" w:header="0" w:footer="0" w:gutter="0"/>
          <w:cols w:equalWidth="0" w:num="2">
            <w:col w:w="5200" w:space="100"/>
            <w:col w:w="4521" w:space="0"/>
          </w:cols>
        </w:sectPr>
        <w:rPr/>
      </w:pPr>
    </w:p>
    <w:p>
      <w:pPr>
        <w:pStyle w:val="BodyText"/>
        <w:spacing w:before="189" w:line="511" w:lineRule="exact"/>
        <w:jc w:val="right"/>
        <w:rPr/>
      </w:pPr>
      <w:r>
        <w:rPr>
          <w:spacing w:val="-16"/>
          <w:position w:val="20"/>
        </w:rPr>
        <w:t>3.唐朝初年的取士任官，除科举取士外，还有荐举</w:t>
      </w:r>
      <w:r>
        <w:rPr>
          <w:spacing w:val="-17"/>
          <w:position w:val="20"/>
        </w:rPr>
        <w:t>、门荫入仕、上书拜官、军功入仕、应征入仕等。</w:t>
      </w:r>
    </w:p>
    <w:p>
      <w:pPr>
        <w:pStyle w:val="BodyText"/>
        <w:ind w:left="270"/>
        <w:spacing w:line="219" w:lineRule="auto"/>
        <w:rPr/>
      </w:pPr>
      <w:r>
        <w:rPr>
          <w:spacing w:val="-4"/>
        </w:rPr>
        <w:t>导致这种状况的主要原因是</w:t>
      </w:r>
    </w:p>
    <w:p>
      <w:pPr>
        <w:pStyle w:val="BodyText"/>
        <w:ind w:left="479"/>
        <w:spacing w:before="136" w:line="228" w:lineRule="auto"/>
        <w:rPr/>
      </w:pPr>
      <w:r>
        <w:rPr>
          <w:rFonts w:ascii="Times New Roman" w:hAnsi="Times New Roman" w:eastAsia="Times New Roman" w:cs="Times New Roman"/>
          <w:spacing w:val="-1"/>
          <w:position w:val="-2"/>
        </w:rPr>
        <w:t>A.</w:t>
      </w:r>
      <w:r>
        <w:rPr>
          <w:rFonts w:ascii="Times New Roman" w:hAnsi="Times New Roman" w:eastAsia="Times New Roman" w:cs="Times New Roman"/>
          <w:spacing w:val="-6"/>
          <w:position w:val="-2"/>
        </w:rPr>
        <w:t xml:space="preserve"> </w:t>
      </w:r>
      <w:r>
        <w:rPr>
          <w:spacing w:val="-1"/>
          <w:position w:val="-2"/>
        </w:rPr>
        <w:t>家国同构思想根深蒂固</w:t>
      </w:r>
      <w:r>
        <w:rPr>
          <w:spacing w:val="6"/>
          <w:position w:val="-2"/>
        </w:rPr>
        <w:t xml:space="preserve">                 </w:t>
      </w:r>
      <w:r>
        <w:rPr>
          <w:rFonts w:ascii="Times New Roman" w:hAnsi="Times New Roman" w:eastAsia="Times New Roman" w:cs="Times New Roman"/>
          <w:spacing w:val="-1"/>
          <w:position w:val="3"/>
        </w:rPr>
        <w:t>B.</w:t>
      </w:r>
      <w:r>
        <w:rPr>
          <w:spacing w:val="-1"/>
          <w:position w:val="3"/>
        </w:rPr>
        <w:t>八股取士的弊端凸显</w:t>
      </w:r>
    </w:p>
    <w:p>
      <w:pPr>
        <w:pStyle w:val="BodyText"/>
        <w:ind w:left="479"/>
        <w:spacing w:before="114" w:line="505" w:lineRule="exact"/>
        <w:rPr/>
      </w:pPr>
      <w:r>
        <w:rPr>
          <w:rFonts w:ascii="Times New Roman" w:hAnsi="Times New Roman" w:eastAsia="Times New Roman" w:cs="Times New Roman"/>
          <w:spacing w:val="1"/>
          <w:position w:val="13"/>
        </w:rPr>
        <w:t>C.</w:t>
      </w:r>
      <w:r>
        <w:rPr>
          <w:rFonts w:ascii="Times New Roman" w:hAnsi="Times New Roman" w:eastAsia="Times New Roman" w:cs="Times New Roman"/>
          <w:spacing w:val="-21"/>
          <w:position w:val="13"/>
        </w:rPr>
        <w:t xml:space="preserve"> </w:t>
      </w:r>
      <w:r>
        <w:rPr>
          <w:spacing w:val="1"/>
          <w:position w:val="13"/>
        </w:rPr>
        <w:t>军功地主阶层迅速崛起        </w:t>
      </w:r>
      <w:r>
        <w:rPr>
          <w:position w:val="13"/>
        </w:rPr>
        <w:t xml:space="preserve">          </w:t>
      </w:r>
      <w:r>
        <w:rPr>
          <w:position w:val="19"/>
        </w:rPr>
        <w:t>D.协调各方的利益诉求</w:t>
      </w:r>
    </w:p>
    <w:p>
      <w:pPr>
        <w:pStyle w:val="BodyText"/>
        <w:ind w:left="3203"/>
        <w:spacing w:line="187" w:lineRule="auto"/>
        <w:rPr/>
      </w:pPr>
      <w:r>
        <w:rPr>
          <w:rFonts w:ascii="SimHei" w:hAnsi="SimHei" w:eastAsia="SimHei" w:cs="SimHei"/>
          <w:b/>
          <w:bCs/>
          <w:spacing w:val="13"/>
        </w:rPr>
        <w:t>【高二历史</w:t>
      </w:r>
      <w:r>
        <w:rPr>
          <w:rFonts w:ascii="SimHei" w:hAnsi="SimHei" w:eastAsia="SimHei" w:cs="SimHei"/>
          <w:spacing w:val="10"/>
        </w:rPr>
        <w:t xml:space="preserve">  </w:t>
      </w:r>
      <w:r>
        <w:rPr>
          <w:spacing w:val="13"/>
        </w:rPr>
        <w:t>第1页(共6页)】</w:t>
      </w:r>
    </w:p>
    <w:p>
      <w:pPr>
        <w:spacing w:line="187" w:lineRule="auto"/>
        <w:sectPr>
          <w:type w:val="continuous"/>
          <w:pgSz w:w="11900" w:h="16840"/>
          <w:pgMar w:top="1078" w:right="1000" w:bottom="0" w:left="1080" w:header="0" w:footer="0" w:gutter="0"/>
          <w:cols w:equalWidth="0" w:num="1">
            <w:col w:w="9820" w:space="0"/>
          </w:cols>
        </w:sectPr>
        <w:rPr/>
      </w:pPr>
    </w:p>
    <w:p>
      <w:pPr>
        <w:pStyle w:val="BodyText"/>
        <w:spacing w:before="47" w:line="500" w:lineRule="exact"/>
        <w:jc w:val="right"/>
        <w:rPr/>
      </w:pPr>
      <w:r>
        <w:rPr>
          <w:spacing w:val="-15"/>
          <w:position w:val="19"/>
        </w:rPr>
        <w:t>4.史载，明朝初年，“郡县之官虽居穷山绝塞之地，去京师万余里外，皆悚心震胆，</w:t>
      </w:r>
      <w:r>
        <w:rPr>
          <w:spacing w:val="-16"/>
          <w:position w:val="19"/>
        </w:rPr>
        <w:t>如神明临其庭，</w:t>
      </w:r>
    </w:p>
    <w:p>
      <w:pPr>
        <w:pStyle w:val="BodyText"/>
        <w:ind w:left="260"/>
        <w:spacing w:line="218" w:lineRule="auto"/>
        <w:rPr/>
      </w:pPr>
      <w:r>
        <w:rPr>
          <w:spacing w:val="-12"/>
        </w:rPr>
        <w:t>不敢少肆”。这反映出明朝</w:t>
      </w:r>
    </w:p>
    <w:p>
      <w:pPr>
        <w:pStyle w:val="BodyText"/>
        <w:ind w:left="500"/>
        <w:spacing w:before="185" w:line="219" w:lineRule="auto"/>
        <w:rPr/>
      </w:pPr>
      <w:r>
        <w:rPr>
          <w:rFonts w:ascii="Times New Roman" w:hAnsi="Times New Roman" w:eastAsia="Times New Roman" w:cs="Times New Roman"/>
        </w:rPr>
        <w:t>A.</w:t>
      </w:r>
      <w:r>
        <w:rPr>
          <w:rFonts w:ascii="Times New Roman" w:hAnsi="Times New Roman" w:eastAsia="Times New Roman" w:cs="Times New Roman"/>
          <w:spacing w:val="-22"/>
        </w:rPr>
        <w:t xml:space="preserve"> </w:t>
      </w:r>
      <w:r>
        <w:rPr/>
        <w:t>专制主义中央集权强化                  </w:t>
      </w:r>
      <w:r>
        <w:rPr>
          <w:rFonts w:ascii="Times New Roman" w:hAnsi="Times New Roman" w:eastAsia="Times New Roman" w:cs="Times New Roman"/>
        </w:rPr>
        <w:t>B.</w:t>
      </w:r>
      <w:r>
        <w:rPr>
          <w:rFonts w:ascii="Times New Roman" w:hAnsi="Times New Roman" w:eastAsia="Times New Roman" w:cs="Times New Roman"/>
          <w:spacing w:val="-35"/>
        </w:rPr>
        <w:t xml:space="preserve"> </w:t>
      </w:r>
      <w:r>
        <w:rPr/>
        <w:t>法律严苛激化社会矛盾</w:t>
      </w:r>
    </w:p>
    <w:p>
      <w:pPr>
        <w:pStyle w:val="BodyText"/>
        <w:ind w:left="500"/>
        <w:spacing w:before="185" w:line="219" w:lineRule="auto"/>
        <w:rPr/>
      </w:pPr>
      <w:r>
        <w:rPr>
          <w:rFonts w:ascii="Times New Roman" w:hAnsi="Times New Roman" w:eastAsia="Times New Roman" w:cs="Times New Roman"/>
        </w:rPr>
        <w:t>C.</w:t>
      </w:r>
      <w:r>
        <w:rPr>
          <w:rFonts w:ascii="Times New Roman" w:hAnsi="Times New Roman" w:eastAsia="Times New Roman" w:cs="Times New Roman"/>
          <w:spacing w:val="-4"/>
        </w:rPr>
        <w:t xml:space="preserve"> </w:t>
      </w:r>
      <w:r>
        <w:rPr/>
        <w:t>文字狱抑制社会的活力                  </w:t>
      </w:r>
      <w:r>
        <w:rPr>
          <w:rFonts w:ascii="Times New Roman" w:hAnsi="Times New Roman" w:eastAsia="Times New Roman" w:cs="Times New Roman"/>
        </w:rPr>
        <w:t>D.</w:t>
      </w:r>
      <w:r>
        <w:rPr>
          <w:rFonts w:ascii="Times New Roman" w:hAnsi="Times New Roman" w:eastAsia="Times New Roman" w:cs="Times New Roman"/>
          <w:spacing w:val="-19"/>
        </w:rPr>
        <w:t xml:space="preserve"> </w:t>
      </w:r>
      <w:r>
        <w:rPr/>
        <w:t>官员廉政自律意识增强</w:t>
      </w:r>
    </w:p>
    <w:p>
      <w:pPr>
        <w:pStyle w:val="BodyText"/>
        <w:ind w:left="260" w:right="91" w:hanging="260"/>
        <w:spacing w:before="155" w:line="376" w:lineRule="auto"/>
        <w:rPr/>
      </w:pPr>
      <w:r>
        <w:rPr/>
        <w:t>5.1911年11月10日，浙江军政府开始实行强制剪辫</w:t>
      </w:r>
      <w:r>
        <w:rPr>
          <w:spacing w:val="-1"/>
        </w:rPr>
        <w:t>法令，</w:t>
      </w:r>
      <w:r>
        <w:rPr>
          <w:spacing w:val="71"/>
        </w:rPr>
        <w:t xml:space="preserve"> </w:t>
      </w:r>
      <w:r>
        <w:rPr>
          <w:spacing w:val="-1"/>
        </w:rPr>
        <w:t>一个月内不剪除发辫者，剥夺其公</w:t>
      </w:r>
      <w:r>
        <w:rPr/>
        <w:t xml:space="preserve"> </w:t>
      </w:r>
      <w:r>
        <w:rPr>
          <w:spacing w:val="-8"/>
        </w:rPr>
        <w:t>民权，民众不满之声日烈，尤其是杭州城内居民害怕被剪去发辫均躲于家中，“城市蛰居不出</w:t>
      </w:r>
    </w:p>
    <w:p>
      <w:pPr>
        <w:pStyle w:val="BodyText"/>
        <w:ind w:left="260"/>
        <w:spacing w:line="216" w:lineRule="auto"/>
        <w:rPr/>
      </w:pPr>
      <w:r>
        <w:rPr>
          <w:spacing w:val="-8"/>
        </w:rPr>
        <w:t>者十室而九”,以致商业萧条。这反映出</w:t>
      </w:r>
    </w:p>
    <w:p>
      <w:pPr>
        <w:pStyle w:val="BodyText"/>
        <w:ind w:left="500"/>
        <w:spacing w:before="152" w:line="226" w:lineRule="auto"/>
        <w:rPr/>
      </w:pPr>
      <w:r>
        <w:rPr>
          <w:rFonts w:ascii="Times New Roman" w:hAnsi="Times New Roman" w:eastAsia="Times New Roman" w:cs="Times New Roman"/>
          <w:spacing w:val="-1"/>
          <w:position w:val="-1"/>
        </w:rPr>
        <w:t>A.</w:t>
      </w:r>
      <w:r>
        <w:rPr>
          <w:rFonts w:ascii="Times New Roman" w:hAnsi="Times New Roman" w:eastAsia="Times New Roman" w:cs="Times New Roman"/>
          <w:spacing w:val="6"/>
          <w:position w:val="-1"/>
        </w:rPr>
        <w:t xml:space="preserve"> </w:t>
      </w:r>
      <w:r>
        <w:rPr>
          <w:spacing w:val="-1"/>
          <w:position w:val="-1"/>
        </w:rPr>
        <w:t>社会生活习俗新旧并存</w:t>
      </w:r>
      <w:r>
        <w:rPr>
          <w:spacing w:val="6"/>
          <w:position w:val="-1"/>
        </w:rPr>
        <w:t xml:space="preserve">                 </w:t>
      </w:r>
      <w:r>
        <w:rPr>
          <w:rFonts w:ascii="Times New Roman" w:hAnsi="Times New Roman" w:eastAsia="Times New Roman" w:cs="Times New Roman"/>
          <w:spacing w:val="-1"/>
          <w:position w:val="2"/>
        </w:rPr>
        <w:t>B. </w:t>
      </w:r>
      <w:r>
        <w:rPr>
          <w:spacing w:val="-1"/>
          <w:position w:val="2"/>
        </w:rPr>
        <w:t>专制军阀迫害百姓</w:t>
      </w:r>
    </w:p>
    <w:p>
      <w:pPr>
        <w:pStyle w:val="BodyText"/>
        <w:ind w:left="500"/>
        <w:spacing w:before="146" w:line="226" w:lineRule="auto"/>
        <w:rPr/>
      </w:pPr>
      <w:r>
        <w:rPr>
          <w:rFonts w:ascii="Times New Roman" w:hAnsi="Times New Roman" w:eastAsia="Times New Roman" w:cs="Times New Roman"/>
          <w:position w:val="-1"/>
        </w:rPr>
        <w:t>C. </w:t>
      </w:r>
      <w:r>
        <w:rPr>
          <w:position w:val="-1"/>
        </w:rPr>
        <w:t>民主革命任务依然艰巨                  </w:t>
      </w:r>
      <w:r>
        <w:rPr>
          <w:rFonts w:ascii="Times New Roman" w:hAnsi="Times New Roman" w:eastAsia="Times New Roman" w:cs="Times New Roman"/>
          <w:position w:val="2"/>
        </w:rPr>
        <w:t>D.</w:t>
      </w:r>
      <w:r>
        <w:rPr>
          <w:rFonts w:ascii="Times New Roman" w:hAnsi="Times New Roman" w:eastAsia="Times New Roman" w:cs="Times New Roman"/>
          <w:spacing w:val="-20"/>
          <w:position w:val="2"/>
        </w:rPr>
        <w:t xml:space="preserve"> </w:t>
      </w:r>
      <w:r>
        <w:rPr>
          <w:position w:val="2"/>
        </w:rPr>
        <w:t>广大民众盲目排外</w:t>
      </w:r>
    </w:p>
    <w:p>
      <w:pPr>
        <w:pStyle w:val="BodyText"/>
        <w:ind w:left="260" w:right="93" w:hanging="260"/>
        <w:spacing w:before="167" w:line="369" w:lineRule="auto"/>
        <w:rPr/>
      </w:pPr>
      <w:r>
        <w:rPr>
          <w:spacing w:val="-4"/>
        </w:rPr>
        <w:t>6.据云南民政司1912年6月统计，云南地区活动的主要政党有同盟会、</w:t>
      </w:r>
      <w:r>
        <w:rPr>
          <w:spacing w:val="-5"/>
        </w:rPr>
        <w:t>统一共和党、统一党、共</w:t>
      </w:r>
      <w:r>
        <w:rPr/>
        <w:t xml:space="preserve"> </w:t>
      </w:r>
      <w:r>
        <w:rPr>
          <w:spacing w:val="-18"/>
        </w:rPr>
        <w:t>和党等。同一时期，《云南》《云南公报》《云南</w:t>
      </w:r>
      <w:r>
        <w:rPr>
          <w:spacing w:val="-19"/>
        </w:rPr>
        <w:t>旬报》《滇话报》等政党刊物也如雨后春笋般出</w:t>
      </w:r>
    </w:p>
    <w:p>
      <w:pPr>
        <w:pStyle w:val="BodyText"/>
        <w:ind w:left="260"/>
        <w:spacing w:before="1" w:line="219" w:lineRule="auto"/>
        <w:rPr/>
      </w:pPr>
      <w:r>
        <w:rPr>
          <w:spacing w:val="-2"/>
        </w:rPr>
        <w:t>现。这表明当时</w:t>
      </w:r>
    </w:p>
    <w:p>
      <w:pPr>
        <w:pStyle w:val="BodyText"/>
        <w:ind w:left="500"/>
        <w:spacing w:before="175" w:line="219" w:lineRule="auto"/>
        <w:rPr/>
      </w:pPr>
      <w:r>
        <w:rPr>
          <w:rFonts w:ascii="Times New Roman" w:hAnsi="Times New Roman" w:eastAsia="Times New Roman" w:cs="Times New Roman"/>
          <w:spacing w:val="-1"/>
        </w:rPr>
        <w:t>A. </w:t>
      </w:r>
      <w:r>
        <w:rPr>
          <w:spacing w:val="-1"/>
        </w:rPr>
        <w:t>政党之间纷争不断</w:t>
      </w:r>
      <w:r>
        <w:rPr>
          <w:spacing w:val="5"/>
        </w:rPr>
        <w:t xml:space="preserve">                     </w:t>
      </w:r>
      <w:r>
        <w:rPr>
          <w:rFonts w:ascii="Times New Roman" w:hAnsi="Times New Roman" w:eastAsia="Times New Roman" w:cs="Times New Roman"/>
          <w:spacing w:val="-1"/>
        </w:rPr>
        <w:t>B.</w:t>
      </w:r>
      <w:r>
        <w:rPr>
          <w:rFonts w:ascii="Times New Roman" w:hAnsi="Times New Roman" w:eastAsia="Times New Roman" w:cs="Times New Roman"/>
          <w:spacing w:val="-25"/>
        </w:rPr>
        <w:t xml:space="preserve"> </w:t>
      </w:r>
      <w:r>
        <w:rPr>
          <w:spacing w:val="-1"/>
        </w:rPr>
        <w:t>国民参政议政意识增强</w:t>
      </w:r>
    </w:p>
    <w:p>
      <w:pPr>
        <w:pStyle w:val="BodyText"/>
        <w:ind w:left="500"/>
        <w:spacing w:before="175" w:line="219" w:lineRule="auto"/>
        <w:rPr/>
      </w:pPr>
      <w:r>
        <w:rPr>
          <w:rFonts w:ascii="Times New Roman" w:hAnsi="Times New Roman" w:eastAsia="Times New Roman" w:cs="Times New Roman"/>
        </w:rPr>
        <w:t>C.</w:t>
      </w:r>
      <w:r>
        <w:rPr>
          <w:rFonts w:ascii="Times New Roman" w:hAnsi="Times New Roman" w:eastAsia="Times New Roman" w:cs="Times New Roman"/>
          <w:spacing w:val="-12"/>
        </w:rPr>
        <w:t xml:space="preserve"> </w:t>
      </w:r>
      <w:r>
        <w:rPr/>
        <w:t>专制统治不得人心                      </w:t>
      </w:r>
      <w:r>
        <w:rPr>
          <w:rFonts w:ascii="Times New Roman" w:hAnsi="Times New Roman" w:eastAsia="Times New Roman" w:cs="Times New Roman"/>
        </w:rPr>
        <w:t>D.</w:t>
      </w:r>
      <w:r>
        <w:rPr>
          <w:rFonts w:ascii="Times New Roman" w:hAnsi="Times New Roman" w:eastAsia="Times New Roman" w:cs="Times New Roman"/>
          <w:spacing w:val="-29"/>
        </w:rPr>
        <w:t xml:space="preserve"> </w:t>
      </w:r>
      <w:r>
        <w:rPr/>
        <w:t>政党政治逐渐走向成熟</w:t>
      </w:r>
    </w:p>
    <w:p>
      <w:pPr>
        <w:pStyle w:val="BodyText"/>
        <w:ind w:left="260" w:right="101" w:hanging="260"/>
        <w:spacing w:before="186" w:line="354" w:lineRule="auto"/>
        <w:rPr/>
      </w:pPr>
      <w:r>
        <w:rPr>
          <w:spacing w:val="-7"/>
        </w:rPr>
        <w:t>7.1955年万隆会议以后，周恩来在国际舞台上非常有影响力，不光是亚洲、非洲国家，包括西方</w:t>
      </w:r>
      <w:r>
        <w:rPr>
          <w:spacing w:val="3"/>
        </w:rPr>
        <w:t xml:space="preserve"> </w:t>
      </w:r>
      <w:r>
        <w:rPr>
          <w:spacing w:val="4"/>
        </w:rPr>
        <w:t>国家都看到了新生的中华人民共和国负责外交的共和国总理的外交魅力。这反映了当时的</w:t>
      </w:r>
    </w:p>
    <w:p>
      <w:pPr>
        <w:pStyle w:val="BodyText"/>
        <w:ind w:left="260"/>
        <w:spacing w:line="220" w:lineRule="auto"/>
        <w:rPr/>
      </w:pPr>
      <w:r>
        <w:rPr>
          <w:spacing w:val="-2"/>
        </w:rPr>
        <w:t>中国</w:t>
      </w:r>
    </w:p>
    <w:p>
      <w:pPr>
        <w:pStyle w:val="BodyText"/>
        <w:ind w:left="500"/>
        <w:spacing w:before="172" w:line="219" w:lineRule="auto"/>
        <w:rPr/>
      </w:pPr>
      <w:r>
        <w:rPr>
          <w:rFonts w:ascii="Times New Roman" w:hAnsi="Times New Roman" w:eastAsia="Times New Roman" w:cs="Times New Roman"/>
          <w:spacing w:val="-1"/>
        </w:rPr>
        <w:t>A.</w:t>
      </w:r>
      <w:r>
        <w:rPr>
          <w:rFonts w:ascii="Times New Roman" w:hAnsi="Times New Roman" w:eastAsia="Times New Roman" w:cs="Times New Roman"/>
          <w:spacing w:val="19"/>
        </w:rPr>
        <w:t xml:space="preserve"> </w:t>
      </w:r>
      <w:r>
        <w:rPr>
          <w:spacing w:val="-1"/>
        </w:rPr>
        <w:t>国际影响力显著提升        </w:t>
      </w:r>
      <w:r>
        <w:rPr>
          <w:spacing w:val="-2"/>
        </w:rPr>
        <w:t xml:space="preserve">            </w:t>
      </w:r>
      <w:r>
        <w:rPr>
          <w:rFonts w:ascii="Times New Roman" w:hAnsi="Times New Roman" w:eastAsia="Times New Roman" w:cs="Times New Roman"/>
          <w:spacing w:val="-2"/>
        </w:rPr>
        <w:t>B.</w:t>
      </w:r>
      <w:r>
        <w:rPr>
          <w:rFonts w:ascii="Times New Roman" w:hAnsi="Times New Roman" w:eastAsia="Times New Roman" w:cs="Times New Roman"/>
          <w:spacing w:val="-36"/>
        </w:rPr>
        <w:t xml:space="preserve"> </w:t>
      </w:r>
      <w:r>
        <w:rPr>
          <w:spacing w:val="-2"/>
        </w:rPr>
        <w:t>为世界和平提供中国方案</w:t>
      </w:r>
    </w:p>
    <w:p>
      <w:pPr>
        <w:pStyle w:val="BodyText"/>
        <w:ind w:left="500"/>
        <w:spacing w:before="186" w:line="219" w:lineRule="auto"/>
        <w:rPr/>
      </w:pPr>
      <w:r>
        <w:rPr>
          <w:rFonts w:ascii="Times New Roman" w:hAnsi="Times New Roman" w:eastAsia="Times New Roman" w:cs="Times New Roman"/>
          <w:spacing w:val="-1"/>
        </w:rPr>
        <w:t>C. </w:t>
      </w:r>
      <w:r>
        <w:rPr>
          <w:spacing w:val="-1"/>
        </w:rPr>
        <w:t>与西方国家关系改善                    </w:t>
      </w:r>
      <w:r>
        <w:rPr>
          <w:rFonts w:ascii="Times New Roman" w:hAnsi="Times New Roman" w:eastAsia="Times New Roman" w:cs="Times New Roman"/>
          <w:spacing w:val="-1"/>
        </w:rPr>
        <w:t>D. </w:t>
      </w:r>
      <w:r>
        <w:rPr>
          <w:spacing w:val="-1"/>
        </w:rPr>
        <w:t>在国际事务中起主导作用</w:t>
      </w:r>
    </w:p>
    <w:p>
      <w:pPr>
        <w:pStyle w:val="BodyText"/>
        <w:spacing w:before="174" w:line="472" w:lineRule="exact"/>
        <w:rPr/>
      </w:pPr>
      <w:r>
        <w:rPr>
          <w:spacing w:val="-8"/>
          <w:position w:val="17"/>
        </w:rPr>
        <w:t>8.2012年，“坚持男女平等基本国策，保障妇女儿童合法权益”被写进党的十八大报告，成为党</w:t>
      </w:r>
    </w:p>
    <w:p>
      <w:pPr>
        <w:pStyle w:val="BodyText"/>
        <w:ind w:left="260"/>
        <w:spacing w:line="220" w:lineRule="auto"/>
        <w:rPr/>
      </w:pPr>
      <w:r>
        <w:rPr>
          <w:spacing w:val="-3"/>
        </w:rPr>
        <w:t>的施政纲领。其体现的主旨是</w:t>
      </w:r>
    </w:p>
    <w:p>
      <w:pPr>
        <w:pStyle w:val="BodyText"/>
        <w:ind w:left="500"/>
        <w:spacing w:before="172" w:line="219" w:lineRule="auto"/>
        <w:rPr/>
      </w:pPr>
      <w:r>
        <w:rPr>
          <w:rFonts w:ascii="Times New Roman" w:hAnsi="Times New Roman" w:eastAsia="Times New Roman" w:cs="Times New Roman"/>
        </w:rPr>
        <w:t>A.</w:t>
      </w:r>
      <w:r>
        <w:rPr>
          <w:rFonts w:ascii="Times New Roman" w:hAnsi="Times New Roman" w:eastAsia="Times New Roman" w:cs="Times New Roman"/>
          <w:spacing w:val="-13"/>
        </w:rPr>
        <w:t xml:space="preserve"> </w:t>
      </w:r>
      <w:r>
        <w:rPr/>
        <w:t>遵循执法为民的基本原则</w:t>
      </w:r>
      <w:r>
        <w:rPr>
          <w:spacing w:val="6"/>
        </w:rPr>
        <w:t xml:space="preserve">               </w:t>
      </w:r>
      <w:r>
        <w:rPr>
          <w:rFonts w:ascii="Times New Roman" w:hAnsi="Times New Roman" w:eastAsia="Times New Roman" w:cs="Times New Roman"/>
        </w:rPr>
        <w:t>B.</w:t>
      </w:r>
      <w:r>
        <w:rPr/>
        <w:t>适当照顾弱势群体利益</w:t>
      </w:r>
    </w:p>
    <w:p>
      <w:pPr>
        <w:pStyle w:val="BodyText"/>
        <w:ind w:left="500"/>
        <w:spacing w:before="175" w:line="219" w:lineRule="auto"/>
        <w:rPr/>
      </w:pPr>
      <w:r>
        <w:rPr>
          <w:rFonts w:ascii="Times New Roman" w:hAnsi="Times New Roman" w:eastAsia="Times New Roman" w:cs="Times New Roman"/>
        </w:rPr>
        <w:t>C.</w:t>
      </w:r>
      <w:r>
        <w:rPr>
          <w:rFonts w:ascii="Times New Roman" w:hAnsi="Times New Roman" w:eastAsia="Times New Roman" w:cs="Times New Roman"/>
          <w:spacing w:val="-13"/>
        </w:rPr>
        <w:t xml:space="preserve"> </w:t>
      </w:r>
      <w:r>
        <w:rPr/>
        <w:t>废除男尊女卑的社会关系</w:t>
      </w:r>
      <w:r>
        <w:rPr>
          <w:spacing w:val="7"/>
        </w:rPr>
        <w:t xml:space="preserve">               </w:t>
      </w:r>
      <w:r>
        <w:rPr>
          <w:rFonts w:ascii="Times New Roman" w:hAnsi="Times New Roman" w:eastAsia="Times New Roman" w:cs="Times New Roman"/>
        </w:rPr>
        <w:t>D.</w:t>
      </w:r>
      <w:r>
        <w:rPr/>
        <w:t>彰显反封建的民主精神</w:t>
      </w:r>
    </w:p>
    <w:p>
      <w:pPr>
        <w:pStyle w:val="BodyText"/>
        <w:spacing w:before="197" w:line="460" w:lineRule="exact"/>
        <w:rPr/>
      </w:pPr>
      <w:r>
        <w:rPr>
          <w:spacing w:val="-3"/>
          <w:position w:val="16"/>
        </w:rPr>
        <w:t>9.中国的杂交水稻制种技术不断取得突破，2021年10月，“中国超级杂交水稻”百亩试验田平</w:t>
      </w:r>
    </w:p>
    <w:p>
      <w:pPr>
        <w:pStyle w:val="BodyText"/>
        <w:ind w:left="260"/>
        <w:spacing w:line="219" w:lineRule="auto"/>
        <w:rPr/>
      </w:pPr>
      <w:r>
        <w:rPr>
          <w:spacing w:val="-1"/>
        </w:rPr>
        <w:t>均亩产1326.77千克，创造世界新纪录。这表明我国</w:t>
      </w:r>
    </w:p>
    <w:p>
      <w:pPr>
        <w:pStyle w:val="BodyText"/>
        <w:ind w:left="500"/>
        <w:spacing w:before="164" w:line="219" w:lineRule="auto"/>
        <w:rPr/>
      </w:pPr>
      <w:r>
        <w:rPr>
          <w:rFonts w:ascii="Times New Roman" w:hAnsi="Times New Roman" w:eastAsia="Times New Roman" w:cs="Times New Roman"/>
          <w:spacing w:val="-1"/>
        </w:rPr>
        <w:t>A.</w:t>
      </w:r>
      <w:r>
        <w:rPr>
          <w:rFonts w:ascii="Times New Roman" w:hAnsi="Times New Roman" w:eastAsia="Times New Roman" w:cs="Times New Roman"/>
          <w:spacing w:val="-3"/>
        </w:rPr>
        <w:t xml:space="preserve"> </w:t>
      </w:r>
      <w:r>
        <w:rPr>
          <w:spacing w:val="-1"/>
        </w:rPr>
        <w:t>粮食安全问题得到解决                  B.为人类消除饥饿作出贡献</w:t>
      </w:r>
    </w:p>
    <w:p>
      <w:pPr>
        <w:pStyle w:val="BodyText"/>
        <w:ind w:left="500"/>
        <w:spacing w:before="185" w:line="219" w:lineRule="auto"/>
        <w:rPr/>
      </w:pPr>
      <w:r>
        <w:rPr>
          <w:rFonts w:ascii="Times New Roman" w:hAnsi="Times New Roman" w:eastAsia="Times New Roman" w:cs="Times New Roman"/>
          <w:spacing w:val="-1"/>
        </w:rPr>
        <w:t>C. </w:t>
      </w:r>
      <w:r>
        <w:rPr>
          <w:spacing w:val="-1"/>
        </w:rPr>
        <w:t>科技发展水平世界领先                  </w:t>
      </w:r>
      <w:r>
        <w:rPr>
          <w:rFonts w:ascii="Times New Roman" w:hAnsi="Times New Roman" w:eastAsia="Times New Roman" w:cs="Times New Roman"/>
          <w:spacing w:val="-1"/>
        </w:rPr>
        <w:t>D. </w:t>
      </w:r>
      <w:r>
        <w:rPr>
          <w:spacing w:val="-1"/>
        </w:rPr>
        <w:t>以自力更生实现小</w:t>
      </w:r>
      <w:r>
        <w:rPr>
          <w:spacing w:val="-2"/>
        </w:rPr>
        <w:t>康生活</w:t>
      </w:r>
    </w:p>
    <w:p>
      <w:pPr>
        <w:pStyle w:val="BodyText"/>
        <w:spacing w:before="166" w:line="219" w:lineRule="auto"/>
        <w:rPr/>
      </w:pPr>
      <w:r>
        <w:rPr>
          <w:spacing w:val="2"/>
        </w:rPr>
        <w:t>10.据统计，1978年至2017年，我国各级各类内地民族班共培</w:t>
      </w:r>
      <w:r>
        <w:rPr>
          <w:spacing w:val="1"/>
        </w:rPr>
        <w:t>养了85万名优秀少数民族人才，</w:t>
      </w:r>
    </w:p>
    <w:p>
      <w:pPr>
        <w:pStyle w:val="BodyText"/>
        <w:ind w:left="470"/>
        <w:spacing w:before="177" w:line="219" w:lineRule="auto"/>
        <w:rPr/>
      </w:pPr>
      <w:r>
        <w:rPr>
          <w:spacing w:val="-4"/>
        </w:rPr>
        <w:t>其中大多数回到家乡就业。这在客观上</w:t>
      </w:r>
    </w:p>
    <w:p>
      <w:pPr>
        <w:pStyle w:val="BodyText"/>
        <w:ind w:left="500"/>
        <w:spacing w:before="173" w:line="228" w:lineRule="auto"/>
        <w:rPr/>
      </w:pPr>
      <w:r>
        <w:rPr>
          <w:rFonts w:ascii="Times New Roman" w:hAnsi="Times New Roman" w:eastAsia="Times New Roman" w:cs="Times New Roman"/>
          <w:spacing w:val="-1"/>
          <w:position w:val="1"/>
        </w:rPr>
        <w:t>A.</w:t>
      </w:r>
      <w:r>
        <w:rPr>
          <w:rFonts w:ascii="Times New Roman" w:hAnsi="Times New Roman" w:eastAsia="Times New Roman" w:cs="Times New Roman"/>
          <w:spacing w:val="-11"/>
          <w:position w:val="1"/>
        </w:rPr>
        <w:t xml:space="preserve"> </w:t>
      </w:r>
      <w:r>
        <w:rPr>
          <w:spacing w:val="-1"/>
          <w:position w:val="1"/>
        </w:rPr>
        <w:t>推动了少数民族地区社会的发展</w:t>
      </w:r>
      <w:r>
        <w:rPr>
          <w:spacing w:val="12"/>
          <w:position w:val="1"/>
        </w:rPr>
        <w:t xml:space="preserve">         </w:t>
      </w:r>
      <w:r>
        <w:rPr>
          <w:rFonts w:ascii="Times New Roman" w:hAnsi="Times New Roman" w:eastAsia="Times New Roman" w:cs="Times New Roman"/>
          <w:spacing w:val="-1"/>
          <w:position w:val="-1"/>
        </w:rPr>
        <w:t>B.</w:t>
      </w:r>
      <w:r>
        <w:rPr>
          <w:rFonts w:ascii="Times New Roman" w:hAnsi="Times New Roman" w:eastAsia="Times New Roman" w:cs="Times New Roman"/>
          <w:spacing w:val="-34"/>
          <w:position w:val="-1"/>
        </w:rPr>
        <w:t xml:space="preserve"> </w:t>
      </w:r>
      <w:r>
        <w:rPr>
          <w:spacing w:val="-1"/>
          <w:position w:val="-1"/>
        </w:rPr>
        <w:t>实现了少数民族当家作主的愿望</w:t>
      </w:r>
    </w:p>
    <w:p>
      <w:pPr>
        <w:pStyle w:val="BodyText"/>
        <w:ind w:left="500"/>
        <w:spacing w:before="155" w:line="506" w:lineRule="exact"/>
        <w:rPr/>
      </w:pPr>
      <w:r>
        <w:rPr>
          <w:rFonts w:ascii="Times New Roman" w:hAnsi="Times New Roman" w:eastAsia="Times New Roman" w:cs="Times New Roman"/>
          <w:position w:val="19"/>
        </w:rPr>
        <w:t>C.</w:t>
      </w:r>
      <w:r>
        <w:rPr>
          <w:rFonts w:ascii="Times New Roman" w:hAnsi="Times New Roman" w:eastAsia="Times New Roman" w:cs="Times New Roman"/>
          <w:spacing w:val="-18"/>
          <w:position w:val="19"/>
        </w:rPr>
        <w:t xml:space="preserve"> </w:t>
      </w:r>
      <w:r>
        <w:rPr>
          <w:position w:val="19"/>
        </w:rPr>
        <w:t>保护了少数民族独特的文化遗产          </w:t>
      </w:r>
      <w:r>
        <w:rPr>
          <w:rFonts w:ascii="Times New Roman" w:hAnsi="Times New Roman" w:eastAsia="Times New Roman" w:cs="Times New Roman"/>
          <w:position w:val="17"/>
        </w:rPr>
        <w:t>D.</w:t>
      </w:r>
      <w:r>
        <w:rPr>
          <w:position w:val="17"/>
        </w:rPr>
        <w:t>消除了国内各民族间的文化差异</w:t>
      </w:r>
    </w:p>
    <w:p>
      <w:pPr>
        <w:pStyle w:val="BodyText"/>
        <w:ind w:left="3263"/>
        <w:spacing w:before="1" w:line="221" w:lineRule="auto"/>
        <w:rPr/>
      </w:pPr>
      <w:r>
        <w:rPr>
          <w:rFonts w:ascii="SimHei" w:hAnsi="SimHei" w:eastAsia="SimHei" w:cs="SimHei"/>
          <w:b/>
          <w:bCs/>
          <w:spacing w:val="12"/>
        </w:rPr>
        <w:t>【高二历史</w:t>
      </w:r>
      <w:r>
        <w:rPr>
          <w:rFonts w:ascii="SimHei" w:hAnsi="SimHei" w:eastAsia="SimHei" w:cs="SimHei"/>
          <w:spacing w:val="12"/>
        </w:rPr>
        <w:t xml:space="preserve">  </w:t>
      </w:r>
      <w:r>
        <w:rPr>
          <w:spacing w:val="12"/>
        </w:rPr>
        <w:t>第2页(共6页)】</w:t>
      </w:r>
    </w:p>
    <w:p>
      <w:pPr>
        <w:spacing w:line="221" w:lineRule="auto"/>
        <w:sectPr>
          <w:pgSz w:w="11900" w:h="16840"/>
          <w:pgMar w:top="641" w:right="1090" w:bottom="0" w:left="929" w:header="0" w:footer="0" w:gutter="0"/>
        </w:sectPr>
        <w:rPr/>
      </w:pPr>
    </w:p>
    <w:p>
      <w:pPr>
        <w:pStyle w:val="BodyText"/>
        <w:ind w:left="329" w:right="171" w:hanging="329"/>
        <w:spacing w:before="46" w:line="399" w:lineRule="auto"/>
        <w:rPr/>
      </w:pPr>
      <w:r>
        <w:rPr>
          <w:spacing w:val="-11"/>
        </w:rPr>
        <w:t>11.1534年，马丁·路德历时13年将整部《圣经》译成德意志方言，路德翻译的《圣经》“不</w:t>
      </w:r>
      <w:r>
        <w:rPr>
          <w:spacing w:val="-12"/>
        </w:rPr>
        <w:t>仅铺</w:t>
      </w:r>
      <w:r>
        <w:rPr/>
        <w:t xml:space="preserve"> </w:t>
      </w:r>
      <w:r>
        <w:rPr>
          <w:spacing w:val="-6"/>
        </w:rPr>
        <w:t>平了通往上帝的语言之路，而且创造了德语语言的书写规范，使德语克服了口语中的诸多差</w:t>
      </w:r>
    </w:p>
    <w:p>
      <w:pPr>
        <w:pStyle w:val="BodyText"/>
        <w:ind w:left="329"/>
        <w:spacing w:line="216" w:lineRule="auto"/>
        <w:rPr/>
      </w:pPr>
      <w:r>
        <w:rPr>
          <w:spacing w:val="-9"/>
        </w:rPr>
        <w:t>异而得以普遍通过”,据此可知，马丁·路德的做法</w:t>
      </w:r>
    </w:p>
    <w:p>
      <w:pPr>
        <w:pStyle w:val="BodyText"/>
        <w:ind w:left="460"/>
        <w:spacing w:before="230" w:line="219" w:lineRule="auto"/>
        <w:rPr/>
      </w:pPr>
      <w:r>
        <w:rPr>
          <w:rFonts w:ascii="Times New Roman" w:hAnsi="Times New Roman" w:eastAsia="Times New Roman" w:cs="Times New Roman"/>
        </w:rPr>
        <w:t>A. </w:t>
      </w:r>
      <w:r>
        <w:rPr/>
        <w:t>得到了社会各阶层的认同</w:t>
      </w:r>
      <w:r>
        <w:rPr>
          <w:spacing w:val="8"/>
        </w:rPr>
        <w:t xml:space="preserve">               </w:t>
      </w:r>
      <w:r>
        <w:rPr>
          <w:rFonts w:ascii="Times New Roman" w:hAnsi="Times New Roman" w:eastAsia="Times New Roman" w:cs="Times New Roman"/>
        </w:rPr>
        <w:t>B.</w:t>
      </w:r>
      <w:r>
        <w:rPr>
          <w:rFonts w:ascii="Times New Roman" w:hAnsi="Times New Roman" w:eastAsia="Times New Roman" w:cs="Times New Roman"/>
          <w:spacing w:val="-34"/>
        </w:rPr>
        <w:t xml:space="preserve"> </w:t>
      </w:r>
      <w:r>
        <w:rPr/>
        <w:t>提高了德意志国民文化的素养</w:t>
      </w:r>
    </w:p>
    <w:p>
      <w:pPr>
        <w:pStyle w:val="BodyText"/>
        <w:ind w:left="460"/>
        <w:spacing w:before="227" w:line="219" w:lineRule="auto"/>
        <w:rPr/>
      </w:pPr>
      <w:r>
        <w:rPr>
          <w:rFonts w:ascii="Times New Roman" w:hAnsi="Times New Roman" w:eastAsia="Times New Roman" w:cs="Times New Roman"/>
          <w:spacing w:val="1"/>
        </w:rPr>
        <w:t>C. </w:t>
      </w:r>
      <w:r>
        <w:rPr>
          <w:spacing w:val="1"/>
        </w:rPr>
        <w:t>加强了德意志的中央集权                </w:t>
      </w:r>
      <w:r>
        <w:rPr>
          <w:rFonts w:ascii="Times New Roman" w:hAnsi="Times New Roman" w:eastAsia="Times New Roman" w:cs="Times New Roman"/>
          <w:spacing w:val="1"/>
        </w:rPr>
        <w:t>D.</w:t>
      </w:r>
      <w:r>
        <w:rPr>
          <w:spacing w:val="1"/>
        </w:rPr>
        <w:t>有利于德</w:t>
      </w:r>
      <w:r>
        <w:rPr/>
        <w:t>意志民族国家的形成</w:t>
      </w:r>
    </w:p>
    <w:p>
      <w:pPr>
        <w:pStyle w:val="BodyText"/>
        <w:spacing w:before="204" w:line="219" w:lineRule="auto"/>
        <w:rPr/>
      </w:pPr>
      <w:r>
        <w:rPr>
          <w:spacing w:val="-6"/>
        </w:rPr>
        <w:t>12.1563年，英国议会通过法律，规定每户人家应依其财产收入按周缴纳税捐以救济贫民，此为</w:t>
      </w:r>
    </w:p>
    <w:p>
      <w:pPr>
        <w:pStyle w:val="BodyText"/>
        <w:ind w:left="329"/>
        <w:spacing w:before="237" w:line="219" w:lineRule="auto"/>
        <w:rPr/>
      </w:pPr>
      <w:r>
        <w:rPr>
          <w:spacing w:val="-1"/>
        </w:rPr>
        <w:t>救贫税的起源。这有助于</w:t>
      </w:r>
    </w:p>
    <w:p>
      <w:pPr>
        <w:pStyle w:val="BodyText"/>
        <w:ind w:left="460"/>
        <w:spacing w:before="235" w:line="219" w:lineRule="auto"/>
        <w:rPr/>
      </w:pPr>
      <w:r>
        <w:rPr>
          <w:rFonts w:ascii="Times New Roman" w:hAnsi="Times New Roman" w:eastAsia="Times New Roman" w:cs="Times New Roman"/>
        </w:rPr>
        <w:t>A. </w:t>
      </w:r>
      <w:r>
        <w:rPr/>
        <w:t>全面维护民众利益            </w:t>
      </w:r>
      <w:r>
        <w:rPr>
          <w:spacing w:val="-1"/>
        </w:rPr>
        <w:t xml:space="preserve">          </w:t>
      </w:r>
      <w:r>
        <w:rPr>
          <w:rFonts w:ascii="Times New Roman" w:hAnsi="Times New Roman" w:eastAsia="Times New Roman" w:cs="Times New Roman"/>
          <w:spacing w:val="-1"/>
        </w:rPr>
        <w:t>B.</w:t>
      </w:r>
      <w:r>
        <w:rPr>
          <w:rFonts w:ascii="Times New Roman" w:hAnsi="Times New Roman" w:eastAsia="Times New Roman" w:cs="Times New Roman"/>
          <w:spacing w:val="-15"/>
        </w:rPr>
        <w:t xml:space="preserve"> </w:t>
      </w:r>
      <w:r>
        <w:rPr>
          <w:spacing w:val="-1"/>
        </w:rPr>
        <w:t>完善资产阶级代议制度</w:t>
      </w:r>
    </w:p>
    <w:p>
      <w:pPr>
        <w:pStyle w:val="BodyText"/>
        <w:ind w:left="460"/>
        <w:spacing w:before="213" w:line="219" w:lineRule="auto"/>
        <w:rPr/>
      </w:pPr>
      <w:r>
        <w:rPr>
          <w:rFonts w:ascii="Times New Roman" w:hAnsi="Times New Roman" w:eastAsia="Times New Roman" w:cs="Times New Roman"/>
          <w:spacing w:val="-7"/>
        </w:rPr>
        <w:t>C.</w:t>
      </w:r>
      <w:r>
        <w:rPr>
          <w:rFonts w:ascii="Times New Roman" w:hAnsi="Times New Roman" w:eastAsia="Times New Roman" w:cs="Times New Roman"/>
          <w:spacing w:val="28"/>
          <w:w w:val="101"/>
        </w:rPr>
        <w:t xml:space="preserve"> </w:t>
      </w:r>
      <w:r>
        <w:rPr>
          <w:spacing w:val="-7"/>
        </w:rPr>
        <w:t>稳定基层社会秩序                       </w:t>
      </w:r>
      <w:r>
        <w:rPr>
          <w:rFonts w:ascii="Times New Roman" w:hAnsi="Times New Roman" w:eastAsia="Times New Roman" w:cs="Times New Roman"/>
          <w:spacing w:val="-7"/>
        </w:rPr>
        <w:t>D.</w:t>
      </w:r>
      <w:r>
        <w:rPr>
          <w:spacing w:val="-7"/>
        </w:rPr>
        <w:t>收缩“福利国家”的规模</w:t>
      </w:r>
    </w:p>
    <w:p>
      <w:pPr>
        <w:pStyle w:val="BodyText"/>
        <w:ind w:left="329" w:right="133" w:hanging="329"/>
        <w:spacing w:before="225" w:line="393" w:lineRule="auto"/>
        <w:rPr/>
      </w:pPr>
      <w:r>
        <w:rPr>
          <w:spacing w:val="-10"/>
        </w:rPr>
        <w:t>13.南北战争结束后不久，美国国会通过宪法第十四</w:t>
      </w:r>
      <w:r>
        <w:rPr>
          <w:spacing w:val="-11"/>
        </w:rPr>
        <w:t>条修正案，规定：“任何一州都不得制定或实</w:t>
      </w:r>
      <w:r>
        <w:rPr/>
        <w:t xml:space="preserve"> </w:t>
      </w:r>
      <w:r>
        <w:rPr/>
        <w:t>施限制合众国公民的特权或豁免权的任何法律；不经正当法律程序</w:t>
      </w:r>
      <w:r>
        <w:rPr>
          <w:spacing w:val="-1"/>
        </w:rPr>
        <w:t>，不得剥夺任何人的生</w:t>
      </w:r>
    </w:p>
    <w:p>
      <w:pPr>
        <w:pStyle w:val="BodyText"/>
        <w:ind w:left="329"/>
        <w:spacing w:before="1" w:line="219" w:lineRule="auto"/>
        <w:rPr/>
      </w:pPr>
      <w:r>
        <w:rPr>
          <w:spacing w:val="-21"/>
        </w:rPr>
        <w:t>命、自由或财产。”这一规定实际上</w:t>
      </w:r>
    </w:p>
    <w:p>
      <w:pPr>
        <w:pStyle w:val="BodyText"/>
        <w:ind w:left="460"/>
        <w:spacing w:before="233" w:line="219" w:lineRule="auto"/>
        <w:rPr/>
      </w:pPr>
      <w:r>
        <w:rPr>
          <w:rFonts w:ascii="Times New Roman" w:hAnsi="Times New Roman" w:eastAsia="Times New Roman" w:cs="Times New Roman"/>
        </w:rPr>
        <w:t>A. </w:t>
      </w:r>
      <w:r>
        <w:rPr/>
        <w:t>导致美国行政体制质变</w:t>
      </w:r>
      <w:r>
        <w:rPr>
          <w:spacing w:val="5"/>
        </w:rPr>
        <w:t xml:space="preserve">                 </w:t>
      </w:r>
      <w:r>
        <w:rPr/>
        <w:t>B.限制了州政府的权力</w:t>
      </w:r>
    </w:p>
    <w:p>
      <w:pPr>
        <w:pStyle w:val="BodyText"/>
        <w:ind w:left="460"/>
        <w:spacing w:before="197" w:line="540" w:lineRule="exact"/>
        <w:rPr/>
      </w:pPr>
      <w:r>
        <w:rPr>
          <w:rFonts w:ascii="Times New Roman" w:hAnsi="Times New Roman" w:eastAsia="Times New Roman" w:cs="Times New Roman"/>
          <w:spacing w:val="1"/>
          <w:position w:val="20"/>
        </w:rPr>
        <w:t>C. </w:t>
      </w:r>
      <w:r>
        <w:rPr>
          <w:spacing w:val="1"/>
          <w:position w:val="20"/>
        </w:rPr>
        <w:t>体现了三权分立的原则</w:t>
      </w:r>
      <w:r>
        <w:rPr>
          <w:position w:val="20"/>
        </w:rPr>
        <w:t xml:space="preserve">                  </w:t>
      </w:r>
      <w:r>
        <w:rPr>
          <w:rFonts w:ascii="Times New Roman" w:hAnsi="Times New Roman" w:eastAsia="Times New Roman" w:cs="Times New Roman"/>
          <w:spacing w:val="1"/>
          <w:position w:val="22"/>
        </w:rPr>
        <w:t>D.</w:t>
      </w:r>
      <w:r>
        <w:rPr>
          <w:spacing w:val="1"/>
          <w:position w:val="22"/>
        </w:rPr>
        <w:t>有效保障了黑人权利</w:t>
      </w:r>
    </w:p>
    <w:p>
      <w:pPr>
        <w:pStyle w:val="BodyText"/>
        <w:ind w:left="59"/>
        <w:spacing w:line="219" w:lineRule="auto"/>
        <w:rPr/>
      </w:pPr>
      <w:r>
        <w:rPr>
          <w:spacing w:val="-9"/>
        </w:rPr>
        <w:t>14.下表为《法国民法典》部分条目及其规定。这些规定</w:t>
      </w:r>
    </w:p>
    <w:p>
      <w:pPr>
        <w:spacing w:line="220" w:lineRule="exact"/>
        <w:rPr/>
      </w:pPr>
      <w:r/>
    </w:p>
    <w:tbl>
      <w:tblPr>
        <w:tblStyle w:val="TableNormal"/>
        <w:tblW w:w="9740" w:type="dxa"/>
        <w:tblInd w:w="6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244"/>
        <w:gridCol w:w="8496"/>
      </w:tblGrid>
      <w:tr>
        <w:trPr>
          <w:trHeight w:val="402" w:hRule="atLeast"/>
        </w:trPr>
        <w:tc>
          <w:tcPr>
            <w:tcW w:w="1244" w:type="dxa"/>
            <w:vAlign w:val="top"/>
          </w:tcPr>
          <w:p>
            <w:pPr>
              <w:pStyle w:val="TableText"/>
              <w:ind w:left="405"/>
              <w:spacing w:before="103" w:line="219" w:lineRule="auto"/>
              <w:rPr/>
            </w:pPr>
            <w:r>
              <w:rPr>
                <w:spacing w:val="-5"/>
              </w:rPr>
              <w:t>条</w:t>
            </w:r>
            <w:r>
              <w:rPr>
                <w:spacing w:val="-7"/>
              </w:rPr>
              <w:t xml:space="preserve"> </w:t>
            </w:r>
            <w:r>
              <w:rPr>
                <w:spacing w:val="-5"/>
              </w:rPr>
              <w:t>目</w:t>
            </w:r>
          </w:p>
        </w:tc>
        <w:tc>
          <w:tcPr>
            <w:tcW w:w="8496" w:type="dxa"/>
            <w:vAlign w:val="top"/>
          </w:tcPr>
          <w:p>
            <w:pPr>
              <w:pStyle w:val="TableText"/>
              <w:ind w:left="4061"/>
              <w:spacing w:before="104" w:line="220" w:lineRule="auto"/>
              <w:rPr/>
            </w:pPr>
            <w:r>
              <w:rPr>
                <w:spacing w:val="6"/>
              </w:rPr>
              <w:t>规定</w:t>
            </w:r>
          </w:p>
        </w:tc>
      </w:tr>
      <w:tr>
        <w:trPr>
          <w:trHeight w:val="398" w:hRule="atLeast"/>
        </w:trPr>
        <w:tc>
          <w:tcPr>
            <w:tcW w:w="1244" w:type="dxa"/>
            <w:vAlign w:val="top"/>
          </w:tcPr>
          <w:p>
            <w:pPr>
              <w:pStyle w:val="TableText"/>
              <w:ind w:left="245"/>
              <w:spacing w:before="101" w:line="219" w:lineRule="auto"/>
              <w:rPr/>
            </w:pPr>
            <w:r>
              <w:rPr>
                <w:spacing w:val="-2"/>
              </w:rPr>
              <w:t>第537条</w:t>
            </w:r>
          </w:p>
        </w:tc>
        <w:tc>
          <w:tcPr>
            <w:tcW w:w="8496" w:type="dxa"/>
            <w:vAlign w:val="top"/>
          </w:tcPr>
          <w:p>
            <w:pPr>
              <w:pStyle w:val="TableText"/>
              <w:ind w:left="101"/>
              <w:spacing w:before="101" w:line="219" w:lineRule="auto"/>
              <w:rPr/>
            </w:pPr>
            <w:r>
              <w:rPr/>
              <w:t>除法律规定的限制外，私人可自由处分属于其所有的财产</w:t>
            </w:r>
          </w:p>
        </w:tc>
      </w:tr>
      <w:tr>
        <w:trPr>
          <w:trHeight w:val="397" w:hRule="atLeast"/>
        </w:trPr>
        <w:tc>
          <w:tcPr>
            <w:tcW w:w="1244" w:type="dxa"/>
            <w:vAlign w:val="top"/>
          </w:tcPr>
          <w:p>
            <w:pPr>
              <w:pStyle w:val="TableText"/>
              <w:ind w:left="245"/>
              <w:spacing w:before="103" w:line="219" w:lineRule="auto"/>
              <w:rPr/>
            </w:pPr>
            <w:r>
              <w:rPr>
                <w:spacing w:val="-2"/>
              </w:rPr>
              <w:t>第544条</w:t>
            </w:r>
          </w:p>
        </w:tc>
        <w:tc>
          <w:tcPr>
            <w:tcW w:w="8496" w:type="dxa"/>
            <w:vAlign w:val="top"/>
          </w:tcPr>
          <w:p>
            <w:pPr>
              <w:pStyle w:val="TableText"/>
              <w:ind w:left="101"/>
              <w:spacing w:before="102" w:line="219" w:lineRule="auto"/>
              <w:rPr/>
            </w:pPr>
            <w:r>
              <w:rPr/>
              <w:t>所有权是对于物有绝对无限制地使用、收益及处分的权利，但法令所</w:t>
            </w:r>
            <w:r>
              <w:rPr>
                <w:spacing w:val="-1"/>
              </w:rPr>
              <w:t>禁止的使用不在此限</w:t>
            </w:r>
          </w:p>
        </w:tc>
      </w:tr>
      <w:tr>
        <w:trPr>
          <w:trHeight w:val="403" w:hRule="atLeast"/>
        </w:trPr>
        <w:tc>
          <w:tcPr>
            <w:tcW w:w="1244" w:type="dxa"/>
            <w:vAlign w:val="top"/>
          </w:tcPr>
          <w:p>
            <w:pPr>
              <w:pStyle w:val="TableText"/>
              <w:ind w:left="245"/>
              <w:spacing w:before="106" w:line="219" w:lineRule="auto"/>
              <w:rPr/>
            </w:pPr>
            <w:r>
              <w:rPr>
                <w:spacing w:val="-2"/>
              </w:rPr>
              <w:t>第545条</w:t>
            </w:r>
          </w:p>
        </w:tc>
        <w:tc>
          <w:tcPr>
            <w:tcW w:w="8496" w:type="dxa"/>
            <w:vAlign w:val="top"/>
          </w:tcPr>
          <w:p>
            <w:pPr>
              <w:pStyle w:val="TableText"/>
              <w:ind w:left="101"/>
              <w:spacing w:before="106" w:line="219" w:lineRule="auto"/>
              <w:rPr/>
            </w:pPr>
            <w:r>
              <w:rPr/>
              <w:t>任何人不得被强制出让其所有权，但因公用，且受公正并事前</w:t>
            </w:r>
            <w:r>
              <w:rPr>
                <w:spacing w:val="-1"/>
              </w:rPr>
              <w:t>的补偿时，不在此限</w:t>
            </w:r>
          </w:p>
        </w:tc>
      </w:tr>
    </w:tbl>
    <w:p>
      <w:pPr>
        <w:pStyle w:val="BodyText"/>
        <w:ind w:left="460"/>
        <w:spacing w:before="293" w:line="493" w:lineRule="exact"/>
        <w:rPr/>
      </w:pPr>
      <w:r>
        <w:rPr>
          <w:rFonts w:ascii="Times New Roman" w:hAnsi="Times New Roman" w:eastAsia="Times New Roman" w:cs="Times New Roman"/>
          <w:spacing w:val="-1"/>
          <w:position w:val="19"/>
        </w:rPr>
        <w:t>A.</w:t>
      </w:r>
      <w:r>
        <w:rPr>
          <w:rFonts w:ascii="Times New Roman" w:hAnsi="Times New Roman" w:eastAsia="Times New Roman" w:cs="Times New Roman"/>
          <w:spacing w:val="41"/>
          <w:position w:val="19"/>
        </w:rPr>
        <w:t xml:space="preserve"> </w:t>
      </w:r>
      <w:r>
        <w:rPr>
          <w:spacing w:val="-1"/>
          <w:position w:val="19"/>
        </w:rPr>
        <w:t>推动了法国大革命的爆发                </w:t>
      </w:r>
      <w:r>
        <w:rPr>
          <w:rFonts w:ascii="Times New Roman" w:hAnsi="Times New Roman" w:eastAsia="Times New Roman" w:cs="Times New Roman"/>
          <w:spacing w:val="-1"/>
          <w:position w:val="19"/>
        </w:rPr>
        <w:t>B.</w:t>
      </w:r>
      <w:r>
        <w:rPr>
          <w:rFonts w:ascii="Times New Roman" w:hAnsi="Times New Roman" w:eastAsia="Times New Roman" w:cs="Times New Roman"/>
          <w:spacing w:val="-36"/>
          <w:position w:val="19"/>
        </w:rPr>
        <w:t xml:space="preserve"> </w:t>
      </w:r>
      <w:r>
        <w:rPr>
          <w:spacing w:val="-1"/>
          <w:position w:val="19"/>
        </w:rPr>
        <w:t>彰显创新性与包容性</w:t>
      </w:r>
    </w:p>
    <w:p>
      <w:pPr>
        <w:pStyle w:val="BodyText"/>
        <w:ind w:left="460"/>
        <w:spacing w:before="1" w:line="224" w:lineRule="auto"/>
        <w:rPr/>
      </w:pPr>
      <w:r>
        <w:rPr>
          <w:rFonts w:ascii="Times New Roman" w:hAnsi="Times New Roman" w:eastAsia="Times New Roman" w:cs="Times New Roman"/>
          <w:position w:val="-1"/>
        </w:rPr>
        <w:t>C. </w:t>
      </w:r>
      <w:r>
        <w:rPr>
          <w:position w:val="-1"/>
        </w:rPr>
        <w:t>受到了社会各阶层的认可                </w:t>
      </w:r>
      <w:r>
        <w:rPr>
          <w:rFonts w:ascii="Times New Roman" w:hAnsi="Times New Roman" w:eastAsia="Times New Roman" w:cs="Times New Roman"/>
          <w:position w:val="1"/>
        </w:rPr>
        <w:t>D. </w:t>
      </w:r>
      <w:r>
        <w:rPr>
          <w:position w:val="1"/>
        </w:rPr>
        <w:t>体现了理性主义色彩</w:t>
      </w:r>
    </w:p>
    <w:p>
      <w:pPr>
        <w:pStyle w:val="BodyText"/>
        <w:ind w:left="119"/>
        <w:spacing w:before="207" w:line="219" w:lineRule="auto"/>
        <w:rPr/>
      </w:pPr>
      <w:r>
        <w:rPr/>
        <w:t>15.下表反映了二战后美元与黄金兑换比率的变化情</w:t>
      </w:r>
      <w:r>
        <w:rPr>
          <w:spacing w:val="-1"/>
        </w:rPr>
        <w:t>况。这一变化反映了</w:t>
      </w:r>
    </w:p>
    <w:p>
      <w:pPr>
        <w:spacing w:line="241" w:lineRule="exact"/>
        <w:rPr/>
      </w:pPr>
      <w:r/>
    </w:p>
    <w:tbl>
      <w:tblPr>
        <w:tblStyle w:val="TableNormal"/>
        <w:tblW w:w="9750" w:type="dxa"/>
        <w:tblInd w:w="11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073"/>
        <w:gridCol w:w="7677"/>
      </w:tblGrid>
      <w:tr>
        <w:trPr>
          <w:trHeight w:val="403" w:hRule="atLeast"/>
        </w:trPr>
        <w:tc>
          <w:tcPr>
            <w:tcW w:w="2073" w:type="dxa"/>
            <w:vAlign w:val="top"/>
          </w:tcPr>
          <w:p>
            <w:pPr>
              <w:pStyle w:val="TableText"/>
              <w:ind w:left="295"/>
              <w:spacing w:before="103" w:line="219" w:lineRule="auto"/>
              <w:rPr/>
            </w:pPr>
            <w:r>
              <w:rPr>
                <w:spacing w:val="3"/>
              </w:rPr>
              <w:t>1946年12月18日</w:t>
            </w:r>
          </w:p>
        </w:tc>
        <w:tc>
          <w:tcPr>
            <w:tcW w:w="7677" w:type="dxa"/>
            <w:vAlign w:val="top"/>
          </w:tcPr>
          <w:p>
            <w:pPr>
              <w:pStyle w:val="TableText"/>
              <w:ind w:left="122"/>
              <w:spacing w:before="102" w:line="219" w:lineRule="auto"/>
              <w:rPr/>
            </w:pPr>
            <w:r>
              <w:rPr/>
              <w:t>国际货币基金组织正式公布美元含金量为0.88867克</w:t>
            </w:r>
          </w:p>
        </w:tc>
      </w:tr>
      <w:tr>
        <w:trPr>
          <w:trHeight w:val="398" w:hRule="atLeast"/>
        </w:trPr>
        <w:tc>
          <w:tcPr>
            <w:tcW w:w="2073" w:type="dxa"/>
            <w:vAlign w:val="top"/>
          </w:tcPr>
          <w:p>
            <w:pPr>
              <w:pStyle w:val="TableText"/>
              <w:ind w:left="345"/>
              <w:spacing w:before="100" w:line="219" w:lineRule="auto"/>
              <w:rPr/>
            </w:pPr>
            <w:r>
              <w:rPr>
                <w:spacing w:val="3"/>
              </w:rPr>
              <w:t>1971年8月15日</w:t>
            </w:r>
          </w:p>
        </w:tc>
        <w:tc>
          <w:tcPr>
            <w:tcW w:w="7677" w:type="dxa"/>
            <w:vAlign w:val="top"/>
          </w:tcPr>
          <w:p>
            <w:pPr>
              <w:pStyle w:val="TableText"/>
              <w:ind w:left="122"/>
              <w:spacing w:before="99" w:line="219" w:lineRule="auto"/>
              <w:rPr/>
            </w:pPr>
            <w:r>
              <w:rPr>
                <w:spacing w:val="-1"/>
              </w:rPr>
              <w:t>美国总统尼克松宣布美元贬值并且停止美元兑换黄金</w:t>
            </w:r>
          </w:p>
        </w:tc>
      </w:tr>
      <w:tr>
        <w:trPr>
          <w:trHeight w:val="816" w:hRule="atLeast"/>
        </w:trPr>
        <w:tc>
          <w:tcPr>
            <w:tcW w:w="2073" w:type="dxa"/>
            <w:vAlign w:val="top"/>
          </w:tcPr>
          <w:p>
            <w:pPr>
              <w:spacing w:line="243" w:lineRule="auto"/>
              <w:rPr>
                <w:rFonts w:ascii="Arial"/>
                <w:sz w:val="21"/>
              </w:rPr>
            </w:pPr>
            <w:r/>
          </w:p>
          <w:p>
            <w:pPr>
              <w:pStyle w:val="TableText"/>
              <w:ind w:left="505"/>
              <w:spacing w:before="68" w:line="219" w:lineRule="auto"/>
              <w:rPr/>
            </w:pPr>
            <w:r>
              <w:rPr>
                <w:spacing w:val="5"/>
              </w:rPr>
              <w:t>1971年12月</w:t>
            </w:r>
          </w:p>
        </w:tc>
        <w:tc>
          <w:tcPr>
            <w:tcW w:w="7677" w:type="dxa"/>
            <w:vAlign w:val="top"/>
          </w:tcPr>
          <w:p>
            <w:pPr>
              <w:pStyle w:val="TableText"/>
              <w:ind w:left="122"/>
              <w:spacing w:before="79" w:line="483" w:lineRule="exact"/>
              <w:rPr/>
            </w:pPr>
            <w:r>
              <w:rPr>
                <w:position w:val="21"/>
              </w:rPr>
              <w:t>主要资本主义国家达成“史密森学会协议”,黄金官价从每盎</w:t>
            </w:r>
            <w:r>
              <w:rPr>
                <w:spacing w:val="-1"/>
                <w:position w:val="21"/>
              </w:rPr>
              <w:t>司35美元提高到38美</w:t>
            </w:r>
          </w:p>
          <w:p>
            <w:pPr>
              <w:pStyle w:val="TableText"/>
              <w:ind w:left="122"/>
              <w:spacing w:line="214" w:lineRule="auto"/>
              <w:rPr/>
            </w:pPr>
            <w:r>
              <w:rPr/>
              <w:t>元，美元含金量贬为0.818513克</w:t>
            </w:r>
          </w:p>
        </w:tc>
      </w:tr>
      <w:tr>
        <w:trPr>
          <w:trHeight w:val="403" w:hRule="atLeast"/>
        </w:trPr>
        <w:tc>
          <w:tcPr>
            <w:tcW w:w="2073" w:type="dxa"/>
            <w:vAlign w:val="top"/>
          </w:tcPr>
          <w:p>
            <w:pPr>
              <w:pStyle w:val="TableText"/>
              <w:ind w:left="345"/>
              <w:spacing w:before="106" w:line="219" w:lineRule="auto"/>
              <w:rPr/>
            </w:pPr>
            <w:r>
              <w:rPr>
                <w:spacing w:val="3"/>
              </w:rPr>
              <w:t>1973年2月12日</w:t>
            </w:r>
          </w:p>
        </w:tc>
        <w:tc>
          <w:tcPr>
            <w:tcW w:w="7677" w:type="dxa"/>
            <w:vAlign w:val="top"/>
          </w:tcPr>
          <w:p>
            <w:pPr>
              <w:pStyle w:val="TableText"/>
              <w:ind w:left="122"/>
              <w:spacing w:before="104" w:line="218" w:lineRule="auto"/>
              <w:rPr/>
            </w:pPr>
            <w:r>
              <w:rPr/>
              <w:t>黄金官价每盎司提高到42.22美元，美元含金量贬</w:t>
            </w:r>
            <w:r>
              <w:rPr>
                <w:spacing w:val="-1"/>
              </w:rPr>
              <w:t>为0.73662克</w:t>
            </w:r>
          </w:p>
        </w:tc>
      </w:tr>
    </w:tbl>
    <w:p>
      <w:pPr>
        <w:pStyle w:val="BodyText"/>
        <w:ind w:left="609"/>
        <w:spacing w:before="283" w:line="219" w:lineRule="auto"/>
        <w:rPr/>
      </w:pPr>
      <w:r>
        <w:rPr>
          <w:rFonts w:ascii="Times New Roman" w:hAnsi="Times New Roman" w:eastAsia="Times New Roman" w:cs="Times New Roman"/>
          <w:spacing w:val="-2"/>
        </w:rPr>
        <w:t>A.</w:t>
      </w:r>
      <w:r>
        <w:rPr>
          <w:rFonts w:ascii="Times New Roman" w:hAnsi="Times New Roman" w:eastAsia="Times New Roman" w:cs="Times New Roman"/>
          <w:spacing w:val="32"/>
        </w:rPr>
        <w:t xml:space="preserve"> </w:t>
      </w:r>
      <w:r>
        <w:rPr>
          <w:spacing w:val="-2"/>
        </w:rPr>
        <w:t>美元不再充当世界性货币</w:t>
      </w:r>
      <w:r>
        <w:rPr>
          <w:spacing w:val="7"/>
        </w:rPr>
        <w:t xml:space="preserve">              </w:t>
      </w:r>
      <w:r>
        <w:rPr>
          <w:rFonts w:ascii="Times New Roman" w:hAnsi="Times New Roman" w:eastAsia="Times New Roman" w:cs="Times New Roman"/>
          <w:spacing w:val="-2"/>
        </w:rPr>
        <w:t>B. </w:t>
      </w:r>
      <w:r>
        <w:rPr>
          <w:spacing w:val="-2"/>
        </w:rPr>
        <w:t>资本主义世界殖民体系瓦解</w:t>
      </w:r>
    </w:p>
    <w:p>
      <w:pPr>
        <w:pStyle w:val="BodyText"/>
        <w:ind w:left="619"/>
        <w:spacing w:before="245" w:line="219" w:lineRule="auto"/>
        <w:rPr/>
      </w:pPr>
      <w:r>
        <w:rPr/>
        <w:t>C.国际货币新体系逐渐形成               </w:t>
      </w:r>
      <w:r>
        <w:rPr>
          <w:rFonts w:ascii="Times New Roman" w:hAnsi="Times New Roman" w:eastAsia="Times New Roman" w:cs="Times New Roman"/>
        </w:rPr>
        <w:t>D.</w:t>
      </w:r>
      <w:r>
        <w:rPr>
          <w:rFonts w:ascii="Times New Roman" w:hAnsi="Times New Roman" w:eastAsia="Times New Roman" w:cs="Times New Roman"/>
          <w:spacing w:val="-15"/>
        </w:rPr>
        <w:t xml:space="preserve"> </w:t>
      </w:r>
      <w:r>
        <w:rPr/>
        <w:t>美国世界经济霸主地位动摇</w:t>
      </w:r>
    </w:p>
    <w:p>
      <w:pPr>
        <w:pStyle w:val="BodyText"/>
        <w:ind w:left="3313"/>
        <w:spacing w:before="212" w:line="222" w:lineRule="auto"/>
        <w:rPr/>
      </w:pPr>
      <w:r>
        <w:rPr>
          <w:rFonts w:ascii="SimHei" w:hAnsi="SimHei" w:eastAsia="SimHei" w:cs="SimHei"/>
          <w:b/>
          <w:bCs/>
          <w:spacing w:val="15"/>
        </w:rPr>
        <w:t>【高二历史</w:t>
      </w:r>
      <w:r>
        <w:rPr>
          <w:rFonts w:ascii="SimHei" w:hAnsi="SimHei" w:eastAsia="SimHei" w:cs="SimHei"/>
          <w:spacing w:val="15"/>
        </w:rPr>
        <w:t xml:space="preserve">  </w:t>
      </w:r>
      <w:r>
        <w:rPr>
          <w:spacing w:val="15"/>
        </w:rPr>
        <w:t>第3页(共6页)】</w:t>
      </w:r>
    </w:p>
    <w:p>
      <w:pPr>
        <w:spacing w:line="222" w:lineRule="auto"/>
        <w:sectPr>
          <w:pgSz w:w="11900" w:h="16840"/>
          <w:pgMar w:top="581" w:right="1105" w:bottom="0" w:left="919" w:header="0" w:footer="0" w:gutter="0"/>
        </w:sectPr>
        <w:rPr/>
      </w:pPr>
    </w:p>
    <w:p>
      <w:pPr>
        <w:pStyle w:val="BodyText"/>
        <w:spacing w:before="45" w:line="219" w:lineRule="auto"/>
        <w:rPr>
          <w:sz w:val="23"/>
          <w:szCs w:val="23"/>
        </w:rPr>
      </w:pPr>
      <w:r>
        <w:rPr>
          <w:sz w:val="23"/>
          <w:szCs w:val="23"/>
          <w:spacing w:val="13"/>
        </w:rPr>
        <w:t>16.1984年，意大利政府对高级公务员职位</w:t>
      </w:r>
      <w:r>
        <w:rPr>
          <w:sz w:val="23"/>
          <w:szCs w:val="23"/>
          <w:spacing w:val="12"/>
        </w:rPr>
        <w:t>进行考试选拔。规定应试者必须是公务员，同时拥</w:t>
      </w:r>
    </w:p>
    <w:p>
      <w:pPr>
        <w:pStyle w:val="BodyText"/>
        <w:ind w:left="369"/>
        <w:spacing w:before="248" w:line="219" w:lineRule="auto"/>
        <w:rPr>
          <w:sz w:val="23"/>
          <w:szCs w:val="23"/>
        </w:rPr>
      </w:pPr>
      <w:r>
        <w:rPr>
          <w:sz w:val="23"/>
          <w:szCs w:val="23"/>
          <w:spacing w:val="13"/>
        </w:rPr>
        <w:t>有9年以上行政工作经历，并且得到其所在单位的批准。这</w:t>
      </w:r>
    </w:p>
    <w:p>
      <w:pPr>
        <w:pStyle w:val="BodyText"/>
        <w:ind w:left="369"/>
        <w:spacing w:before="216" w:line="520" w:lineRule="exact"/>
        <w:rPr>
          <w:sz w:val="23"/>
          <w:szCs w:val="23"/>
        </w:rPr>
      </w:pPr>
      <w:r>
        <w:rPr>
          <w:rFonts w:ascii="Times New Roman" w:hAnsi="Times New Roman" w:eastAsia="Times New Roman" w:cs="Times New Roman"/>
          <w:sz w:val="23"/>
          <w:szCs w:val="23"/>
          <w:spacing w:val="12"/>
          <w:position w:val="19"/>
        </w:rPr>
        <w:t>A.</w:t>
      </w:r>
      <w:r>
        <w:rPr>
          <w:rFonts w:ascii="Times New Roman" w:hAnsi="Times New Roman" w:eastAsia="Times New Roman" w:cs="Times New Roman"/>
          <w:sz w:val="23"/>
          <w:szCs w:val="23"/>
          <w:spacing w:val="4"/>
          <w:position w:val="19"/>
        </w:rPr>
        <w:t xml:space="preserve"> </w:t>
      </w:r>
      <w:r>
        <w:rPr>
          <w:sz w:val="23"/>
          <w:szCs w:val="23"/>
          <w:spacing w:val="12"/>
          <w:position w:val="19"/>
        </w:rPr>
        <w:t>杜绝了官员的贪腐怠政行为</w:t>
      </w:r>
      <w:r>
        <w:rPr>
          <w:sz w:val="23"/>
          <w:szCs w:val="23"/>
          <w:spacing w:val="6"/>
          <w:position w:val="19"/>
        </w:rPr>
        <w:t xml:space="preserve">               </w:t>
      </w:r>
      <w:r>
        <w:rPr>
          <w:sz w:val="23"/>
          <w:szCs w:val="23"/>
          <w:spacing w:val="12"/>
          <w:position w:val="21"/>
        </w:rPr>
        <w:t>B.改变了公务员的阶级属性</w:t>
      </w:r>
    </w:p>
    <w:p>
      <w:pPr>
        <w:pStyle w:val="BodyText"/>
        <w:ind w:left="369"/>
        <w:spacing w:line="226" w:lineRule="auto"/>
        <w:rPr>
          <w:sz w:val="23"/>
          <w:szCs w:val="23"/>
        </w:rPr>
      </w:pPr>
      <w:r>
        <w:rPr>
          <w:rFonts w:ascii="Times New Roman" w:hAnsi="Times New Roman" w:eastAsia="Times New Roman" w:cs="Times New Roman"/>
          <w:sz w:val="23"/>
          <w:szCs w:val="23"/>
          <w:spacing w:val="10"/>
          <w:position w:val="-1"/>
        </w:rPr>
        <w:t>C. </w:t>
      </w:r>
      <w:r>
        <w:rPr>
          <w:sz w:val="23"/>
          <w:szCs w:val="23"/>
          <w:spacing w:val="10"/>
          <w:position w:val="-1"/>
        </w:rPr>
        <w:t>促进了国家治理水平的提高               </w:t>
      </w:r>
      <w:r>
        <w:rPr>
          <w:rFonts w:ascii="Times New Roman" w:hAnsi="Times New Roman" w:eastAsia="Times New Roman" w:cs="Times New Roman"/>
          <w:sz w:val="23"/>
          <w:szCs w:val="23"/>
          <w:spacing w:val="10"/>
          <w:position w:val="1"/>
        </w:rPr>
        <w:t>D.</w:t>
      </w:r>
      <w:r>
        <w:rPr>
          <w:rFonts w:ascii="Times New Roman" w:hAnsi="Times New Roman" w:eastAsia="Times New Roman" w:cs="Times New Roman"/>
          <w:sz w:val="23"/>
          <w:szCs w:val="23"/>
          <w:spacing w:val="-22"/>
          <w:position w:val="1"/>
        </w:rPr>
        <w:t xml:space="preserve"> </w:t>
      </w:r>
      <w:r>
        <w:rPr>
          <w:sz w:val="23"/>
          <w:szCs w:val="23"/>
          <w:spacing w:val="10"/>
          <w:position w:val="1"/>
        </w:rPr>
        <w:t>造成了官僚机构急剧膨胀</w:t>
      </w:r>
    </w:p>
    <w:p>
      <w:pPr>
        <w:ind w:left="23"/>
        <w:spacing w:before="223" w:line="213" w:lineRule="auto"/>
        <w:outlineLvl w:val="0"/>
        <w:rPr>
          <w:rFonts w:ascii="SimHei" w:hAnsi="SimHei" w:eastAsia="SimHei" w:cs="SimHei"/>
          <w:sz w:val="23"/>
          <w:szCs w:val="23"/>
        </w:rPr>
      </w:pPr>
      <w:r>
        <w:rPr>
          <w:rFonts w:ascii="SimHei" w:hAnsi="SimHei" w:eastAsia="SimHei" w:cs="SimHei"/>
          <w:sz w:val="23"/>
          <w:szCs w:val="23"/>
          <w:b/>
          <w:bCs/>
          <w:spacing w:val="2"/>
        </w:rPr>
        <w:t>二、非选择题：本大题共4小题，共52分。</w:t>
      </w:r>
    </w:p>
    <w:p>
      <w:pPr>
        <w:pStyle w:val="BodyText"/>
        <w:ind w:left="49"/>
        <w:spacing w:before="258" w:line="219" w:lineRule="auto"/>
        <w:rPr>
          <w:sz w:val="23"/>
          <w:szCs w:val="23"/>
        </w:rPr>
      </w:pPr>
      <w:r>
        <w:rPr>
          <w:sz w:val="23"/>
          <w:szCs w:val="23"/>
          <w:spacing w:val="8"/>
        </w:rPr>
        <w:t>17.阅读材料，完成下列要求。(12分)</w:t>
      </w:r>
    </w:p>
    <w:p>
      <w:pPr>
        <w:pStyle w:val="BodyText"/>
        <w:ind w:left="369" w:right="109" w:firstLine="3"/>
        <w:spacing w:before="207" w:line="410" w:lineRule="auto"/>
        <w:jc w:val="both"/>
        <w:rPr>
          <w:sz w:val="23"/>
          <w:szCs w:val="23"/>
        </w:rPr>
      </w:pPr>
      <w:r>
        <w:rPr>
          <w:rFonts w:ascii="SimHei" w:hAnsi="SimHei" w:eastAsia="SimHei" w:cs="SimHei"/>
          <w:sz w:val="23"/>
          <w:szCs w:val="23"/>
          <w:b/>
          <w:bCs/>
          <w:spacing w:val="13"/>
        </w:rPr>
        <w:t>材料一</w:t>
      </w:r>
      <w:r>
        <w:rPr>
          <w:rFonts w:ascii="SimHei" w:hAnsi="SimHei" w:eastAsia="SimHei" w:cs="SimHei"/>
          <w:sz w:val="23"/>
          <w:szCs w:val="23"/>
          <w:spacing w:val="5"/>
        </w:rPr>
        <w:t xml:space="preserve">  </w:t>
      </w:r>
      <w:r>
        <w:rPr>
          <w:rFonts w:ascii="KaiTi" w:hAnsi="KaiTi" w:eastAsia="KaiTi" w:cs="KaiTi"/>
          <w:sz w:val="23"/>
          <w:szCs w:val="23"/>
          <w:spacing w:val="13"/>
        </w:rPr>
        <w:t>甘薯经海陆两路，大约在16世纪七八十年代传入中国。相比</w:t>
      </w:r>
      <w:r>
        <w:rPr>
          <w:rFonts w:ascii="KaiTi" w:hAnsi="KaiTi" w:eastAsia="KaiTi" w:cs="KaiTi"/>
          <w:sz w:val="23"/>
          <w:szCs w:val="23"/>
          <w:spacing w:val="12"/>
        </w:rPr>
        <w:t>此前在其他国家的传</w:t>
      </w:r>
      <w:r>
        <w:rPr>
          <w:rFonts w:ascii="KaiTi" w:hAnsi="KaiTi" w:eastAsia="KaiTi" w:cs="KaiTi"/>
          <w:sz w:val="23"/>
          <w:szCs w:val="23"/>
          <w:spacing w:val="1"/>
        </w:rPr>
        <w:t xml:space="preserve"> </w:t>
      </w:r>
      <w:r>
        <w:rPr>
          <w:rFonts w:ascii="KaiTi" w:hAnsi="KaiTi" w:eastAsia="KaiTi" w:cs="KaiTi"/>
          <w:sz w:val="23"/>
          <w:szCs w:val="23"/>
          <w:spacing w:val="6"/>
        </w:rPr>
        <w:t>播速度，甘薯在中国的传播更为迅速，普及更加全面。16世纪末，福建发生饥荒，巡抚金学</w:t>
      </w:r>
      <w:r>
        <w:rPr>
          <w:rFonts w:ascii="KaiTi" w:hAnsi="KaiTi" w:eastAsia="KaiTi" w:cs="KaiTi"/>
          <w:sz w:val="23"/>
          <w:szCs w:val="23"/>
          <w:spacing w:val="9"/>
        </w:rPr>
        <w:t xml:space="preserve"> </w:t>
      </w:r>
      <w:r>
        <w:rPr>
          <w:rFonts w:ascii="KaiTi" w:hAnsi="KaiTi" w:eastAsia="KaiTi" w:cs="KaiTi"/>
          <w:sz w:val="23"/>
          <w:szCs w:val="23"/>
        </w:rPr>
        <w:t>曾便大力推广甘薯种植，饥民得以度荒。甘薯本身具有抗涝、耐旱、耐瘠等特性，又特别适合</w:t>
      </w:r>
      <w:r>
        <w:rPr>
          <w:rFonts w:ascii="KaiTi" w:hAnsi="KaiTi" w:eastAsia="KaiTi" w:cs="KaiTi"/>
          <w:sz w:val="23"/>
          <w:szCs w:val="23"/>
          <w:spacing w:val="8"/>
        </w:rPr>
        <w:t xml:space="preserve"> </w:t>
      </w:r>
      <w:r>
        <w:rPr>
          <w:sz w:val="23"/>
          <w:szCs w:val="23"/>
          <w:spacing w:val="5"/>
        </w:rPr>
        <w:t>中国的地形、土壤、气候条件和中国人的口味。发展至今，中国已是甘薯生产和消费的头号</w:t>
      </w:r>
      <w:r>
        <w:rPr>
          <w:sz w:val="23"/>
          <w:szCs w:val="23"/>
          <w:spacing w:val="13"/>
        </w:rPr>
        <w:t xml:space="preserve"> </w:t>
      </w:r>
      <w:r>
        <w:rPr>
          <w:sz w:val="23"/>
          <w:szCs w:val="23"/>
          <w:spacing w:val="15"/>
        </w:rPr>
        <w:t>大国。种植面积常年保持在7500万—8000万亩，约占世界种植面积的60%,年产量约占世</w:t>
      </w:r>
    </w:p>
    <w:p>
      <w:pPr>
        <w:ind w:left="369"/>
        <w:spacing w:before="1" w:line="221" w:lineRule="auto"/>
        <w:rPr>
          <w:rFonts w:ascii="KaiTi" w:hAnsi="KaiTi" w:eastAsia="KaiTi" w:cs="KaiTi"/>
          <w:sz w:val="23"/>
          <w:szCs w:val="23"/>
        </w:rPr>
      </w:pPr>
      <w:r>
        <w:rPr>
          <w:rFonts w:ascii="KaiTi" w:hAnsi="KaiTi" w:eastAsia="KaiTi" w:cs="KaiTi"/>
          <w:sz w:val="23"/>
          <w:szCs w:val="23"/>
          <w:spacing w:val="26"/>
        </w:rPr>
        <w:t>界总产量的80%,</w:t>
      </w:r>
    </w:p>
    <w:p>
      <w:pPr>
        <w:pStyle w:val="BodyText"/>
        <w:ind w:left="369" w:right="4" w:firstLine="2880"/>
        <w:spacing w:before="217" w:line="409" w:lineRule="auto"/>
        <w:tabs>
          <w:tab w:val="left" w:pos="3748"/>
        </w:tabs>
        <w:jc w:val="both"/>
        <w:rPr>
          <w:sz w:val="23"/>
          <w:szCs w:val="23"/>
        </w:rPr>
      </w:pPr>
      <w:r>
        <w:rPr>
          <w:rFonts w:ascii="KaiTi" w:hAnsi="KaiTi" w:eastAsia="KaiTi" w:cs="KaiTi"/>
          <w:sz w:val="23"/>
          <w:szCs w:val="23"/>
          <w:u w:val="single" w:color="auto"/>
        </w:rPr>
        <w:tab/>
      </w:r>
      <w:r>
        <w:rPr>
          <w:rFonts w:ascii="KaiTi" w:hAnsi="KaiTi" w:eastAsia="KaiTi" w:cs="KaiTi"/>
          <w:sz w:val="23"/>
          <w:szCs w:val="23"/>
          <w:spacing w:val="-8"/>
        </w:rPr>
        <w:t>摘编自张箭《从美洲到中国；玉米、马铃薯、甘薯的传播之路》</w:t>
      </w:r>
      <w:r>
        <w:rPr>
          <w:rFonts w:ascii="KaiTi" w:hAnsi="KaiTi" w:eastAsia="KaiTi" w:cs="KaiTi"/>
          <w:sz w:val="23"/>
          <w:szCs w:val="23"/>
        </w:rPr>
        <w:t xml:space="preserve"> </w:t>
      </w:r>
      <w:r>
        <w:rPr>
          <w:rFonts w:ascii="SimHei" w:hAnsi="SimHei" w:eastAsia="SimHei" w:cs="SimHei"/>
          <w:sz w:val="23"/>
          <w:szCs w:val="23"/>
          <w:spacing w:val="10"/>
        </w:rPr>
        <w:t>材料二</w:t>
      </w:r>
      <w:r>
        <w:rPr>
          <w:rFonts w:ascii="SimHei" w:hAnsi="SimHei" w:eastAsia="SimHei" w:cs="SimHei"/>
          <w:sz w:val="23"/>
          <w:szCs w:val="23"/>
          <w:spacing w:val="10"/>
        </w:rPr>
        <w:t xml:space="preserve">  </w:t>
      </w:r>
      <w:r>
        <w:rPr>
          <w:rFonts w:ascii="KaiTi" w:hAnsi="KaiTi" w:eastAsia="KaiTi" w:cs="KaiTi"/>
          <w:sz w:val="23"/>
          <w:szCs w:val="23"/>
          <w:spacing w:val="10"/>
        </w:rPr>
        <w:t>明清时期引入中国的作物品种多源自美洲，总数接</w:t>
      </w:r>
      <w:r>
        <w:rPr>
          <w:rFonts w:ascii="KaiTi" w:hAnsi="KaiTi" w:eastAsia="KaiTi" w:cs="KaiTi"/>
          <w:sz w:val="23"/>
          <w:szCs w:val="23"/>
          <w:spacing w:val="9"/>
        </w:rPr>
        <w:t>近30种。其中甘薯、玉米等粮</w:t>
      </w:r>
      <w:r>
        <w:rPr>
          <w:rFonts w:ascii="KaiTi" w:hAnsi="KaiTi" w:eastAsia="KaiTi" w:cs="KaiTi"/>
          <w:sz w:val="23"/>
          <w:szCs w:val="23"/>
          <w:spacing w:val="9"/>
        </w:rPr>
        <w:t xml:space="preserve">  </w:t>
      </w:r>
      <w:r>
        <w:rPr>
          <w:sz w:val="23"/>
          <w:szCs w:val="23"/>
          <w:spacing w:val="11"/>
        </w:rPr>
        <w:t>食作物的引入和推广不仅在当时的救荒减灾活动</w:t>
      </w:r>
      <w:r>
        <w:rPr>
          <w:sz w:val="23"/>
          <w:szCs w:val="23"/>
          <w:spacing w:val="10"/>
        </w:rPr>
        <w:t>中发挥了重要的作用，对后世也产生了深</w:t>
      </w:r>
    </w:p>
    <w:p>
      <w:pPr>
        <w:ind w:left="369"/>
        <w:spacing w:before="2" w:line="222" w:lineRule="auto"/>
        <w:rPr>
          <w:rFonts w:ascii="KaiTi" w:hAnsi="KaiTi" w:eastAsia="KaiTi" w:cs="KaiTi"/>
          <w:sz w:val="23"/>
          <w:szCs w:val="23"/>
        </w:rPr>
      </w:pPr>
      <w:r>
        <w:rPr>
          <w:rFonts w:ascii="KaiTi" w:hAnsi="KaiTi" w:eastAsia="KaiTi" w:cs="KaiTi"/>
          <w:sz w:val="23"/>
          <w:szCs w:val="23"/>
          <w:spacing w:val="7"/>
        </w:rPr>
        <w:t>远及多方面的影响。</w:t>
      </w:r>
    </w:p>
    <w:p>
      <w:pPr>
        <w:pStyle w:val="BodyText"/>
        <w:ind w:left="369" w:firstLine="2050"/>
        <w:spacing w:before="193" w:line="398" w:lineRule="auto"/>
        <w:tabs>
          <w:tab w:val="left" w:pos="2918"/>
        </w:tabs>
        <w:rPr>
          <w:sz w:val="23"/>
          <w:szCs w:val="23"/>
        </w:rPr>
      </w:pPr>
      <w:r>
        <w:rPr>
          <w:rFonts w:ascii="KaiTi" w:hAnsi="KaiTi" w:eastAsia="KaiTi" w:cs="KaiTi"/>
          <w:u w:val="single" w:color="auto"/>
        </w:rPr>
        <w:tab/>
      </w:r>
      <w:r>
        <w:rPr>
          <w:rFonts w:ascii="KaiTi" w:hAnsi="KaiTi" w:eastAsia="KaiTi" w:cs="KaiTi"/>
          <w:spacing w:val="-5"/>
        </w:rPr>
        <w:t>摘编自邵侃《明清时期粮食作物的引入和传播——基于甘薯的考察》</w:t>
      </w:r>
      <w:r>
        <w:rPr>
          <w:rFonts w:ascii="KaiTi" w:hAnsi="KaiTi" w:eastAsia="KaiTi" w:cs="KaiTi"/>
        </w:rPr>
        <w:t xml:space="preserve"> </w:t>
      </w:r>
      <w:r>
        <w:rPr>
          <w:sz w:val="23"/>
          <w:szCs w:val="23"/>
          <w:spacing w:val="9"/>
        </w:rPr>
        <w:t>(1)根据材料一并结合所学知识，分析甘薯在明代</w:t>
      </w:r>
      <w:r>
        <w:rPr>
          <w:sz w:val="23"/>
          <w:szCs w:val="23"/>
          <w:spacing w:val="8"/>
        </w:rPr>
        <w:t>传入中国并得以广泛种植的原因。(6分)</w:t>
      </w:r>
    </w:p>
    <w:p>
      <w:pPr>
        <w:pStyle w:val="BodyText"/>
        <w:ind w:left="369"/>
        <w:spacing w:before="1" w:line="218" w:lineRule="auto"/>
        <w:rPr>
          <w:sz w:val="23"/>
          <w:szCs w:val="23"/>
        </w:rPr>
      </w:pPr>
      <w:r>
        <w:rPr>
          <w:sz w:val="23"/>
          <w:szCs w:val="23"/>
          <w:spacing w:val="8"/>
        </w:rPr>
        <w:t>(2)根据材料二并结合所学知识，分析明清时期新作物传入中国并推广的影响。(6分)</w:t>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BodyText"/>
        <w:ind w:left="189"/>
        <w:spacing w:before="75" w:line="219" w:lineRule="auto"/>
        <w:rPr>
          <w:sz w:val="23"/>
          <w:szCs w:val="23"/>
        </w:rPr>
      </w:pPr>
      <w:r>
        <w:rPr>
          <w:sz w:val="23"/>
          <w:szCs w:val="23"/>
          <w:spacing w:val="4"/>
        </w:rPr>
        <w:t>18.阅读材料，完成下列要求。(14分)</w:t>
      </w:r>
    </w:p>
    <w:p>
      <w:pPr>
        <w:ind w:left="373"/>
        <w:spacing w:before="203" w:line="495" w:lineRule="exact"/>
        <w:rPr>
          <w:rFonts w:ascii="KaiTi" w:hAnsi="KaiTi" w:eastAsia="KaiTi" w:cs="KaiTi"/>
          <w:sz w:val="23"/>
          <w:szCs w:val="23"/>
        </w:rPr>
      </w:pPr>
      <w:r>
        <w:rPr>
          <w:rFonts w:ascii="SimHei" w:hAnsi="SimHei" w:eastAsia="SimHei" w:cs="SimHei"/>
          <w:sz w:val="23"/>
          <w:szCs w:val="23"/>
          <w:b/>
          <w:bCs/>
          <w:spacing w:val="6"/>
          <w:position w:val="20"/>
        </w:rPr>
        <w:t>材料—</w:t>
      </w:r>
      <w:r>
        <w:rPr>
          <w:rFonts w:ascii="SimHei" w:hAnsi="SimHei" w:eastAsia="SimHei" w:cs="SimHei"/>
          <w:sz w:val="23"/>
          <w:szCs w:val="23"/>
          <w:spacing w:val="6"/>
          <w:position w:val="20"/>
        </w:rPr>
        <w:t xml:space="preserve">   </w:t>
      </w:r>
      <w:r>
        <w:rPr>
          <w:rFonts w:ascii="Arial" w:hAnsi="Arial" w:eastAsia="Arial" w:cs="Arial"/>
          <w:sz w:val="23"/>
          <w:szCs w:val="23"/>
          <w:spacing w:val="6"/>
          <w:position w:val="20"/>
        </w:rPr>
        <w:t>“ </w:t>
      </w:r>
      <w:r>
        <w:rPr>
          <w:rFonts w:ascii="KaiTi" w:hAnsi="KaiTi" w:eastAsia="KaiTi" w:cs="KaiTi"/>
          <w:sz w:val="23"/>
          <w:szCs w:val="23"/>
          <w:spacing w:val="6"/>
          <w:position w:val="20"/>
        </w:rPr>
        <w:t>一边倒”是新中国成立后</w:t>
      </w:r>
      <w:r>
        <w:rPr>
          <w:rFonts w:ascii="KaiTi" w:hAnsi="KaiTi" w:eastAsia="KaiTi" w:cs="KaiTi"/>
          <w:sz w:val="23"/>
          <w:szCs w:val="23"/>
          <w:spacing w:val="5"/>
          <w:position w:val="20"/>
        </w:rPr>
        <w:t>采取的第一个外交战略。它是以毛泽东为核心的党的第</w:t>
      </w:r>
    </w:p>
    <w:p>
      <w:pPr>
        <w:pStyle w:val="BodyText"/>
        <w:ind w:left="369"/>
        <w:spacing w:before="1" w:line="219" w:lineRule="auto"/>
        <w:rPr>
          <w:sz w:val="23"/>
          <w:szCs w:val="23"/>
        </w:rPr>
      </w:pPr>
      <w:r>
        <w:rPr>
          <w:sz w:val="23"/>
          <w:szCs w:val="23"/>
          <w:spacing w:val="7"/>
        </w:rPr>
        <w:t>一代领导集体基于对当时国际国内形势的认识和判断而确立的，具有强烈的时代</w:t>
      </w:r>
      <w:r>
        <w:rPr>
          <w:sz w:val="23"/>
          <w:szCs w:val="23"/>
          <w:spacing w:val="6"/>
        </w:rPr>
        <w:t>特征。客</w:t>
      </w:r>
    </w:p>
    <w:p>
      <w:pPr>
        <w:ind w:left="369"/>
        <w:spacing w:before="208" w:line="490" w:lineRule="exact"/>
        <w:rPr>
          <w:rFonts w:ascii="KaiTi" w:hAnsi="KaiTi" w:eastAsia="KaiTi" w:cs="KaiTi"/>
          <w:sz w:val="23"/>
          <w:szCs w:val="23"/>
        </w:rPr>
      </w:pPr>
      <w:r>
        <w:rPr>
          <w:rFonts w:ascii="KaiTi" w:hAnsi="KaiTi" w:eastAsia="KaiTi" w:cs="KaiTi"/>
          <w:sz w:val="23"/>
          <w:szCs w:val="23"/>
          <w:spacing w:val="1"/>
          <w:position w:val="19"/>
        </w:rPr>
        <w:t>观而言，它与新中国的国情相适应，产生了积极的实践效应，切实地维护了新中国成立初期</w:t>
      </w:r>
    </w:p>
    <w:p>
      <w:pPr>
        <w:ind w:left="369"/>
        <w:spacing w:line="220" w:lineRule="auto"/>
        <w:rPr>
          <w:rFonts w:ascii="KaiTi" w:hAnsi="KaiTi" w:eastAsia="KaiTi" w:cs="KaiTi"/>
          <w:sz w:val="23"/>
          <w:szCs w:val="23"/>
        </w:rPr>
      </w:pPr>
      <w:r>
        <w:rPr>
          <w:rFonts w:ascii="KaiTi" w:hAnsi="KaiTi" w:eastAsia="KaiTi" w:cs="KaiTi"/>
          <w:sz w:val="23"/>
          <w:szCs w:val="23"/>
          <w:spacing w:val="-4"/>
        </w:rPr>
        <w:t>的国家利益，具有重大的历史意义。</w:t>
      </w:r>
    </w:p>
    <w:p>
      <w:pPr>
        <w:ind w:left="2919"/>
        <w:spacing w:before="202" w:line="392" w:lineRule="auto"/>
        <w:tabs>
          <w:tab w:val="left" w:pos="3438"/>
        </w:tabs>
        <w:rPr>
          <w:rFonts w:ascii="KaiTi" w:hAnsi="KaiTi" w:eastAsia="KaiTi" w:cs="KaiTi"/>
          <w:sz w:val="23"/>
          <w:szCs w:val="23"/>
        </w:rPr>
      </w:pPr>
      <w:r>
        <w:rPr>
          <w:rFonts w:ascii="KaiTi" w:hAnsi="KaiTi" w:eastAsia="KaiTi" w:cs="KaiTi"/>
          <w:sz w:val="23"/>
          <w:szCs w:val="23"/>
          <w:u w:val="single" w:color="auto"/>
        </w:rPr>
        <w:tab/>
      </w:r>
      <w:r>
        <w:rPr>
          <w:rFonts w:ascii="KaiTi" w:hAnsi="KaiTi" w:eastAsia="KaiTi" w:cs="KaiTi"/>
          <w:sz w:val="23"/>
          <w:szCs w:val="23"/>
          <w:spacing w:val="-8"/>
        </w:rPr>
        <w:t>摘编自万才新《新中国“一边倒”外交战略的确立及其实践效应》</w:t>
      </w:r>
    </w:p>
    <w:p>
      <w:pPr>
        <w:pStyle w:val="BodyText"/>
        <w:ind w:left="3348"/>
        <w:spacing w:before="1" w:line="221" w:lineRule="auto"/>
        <w:rPr>
          <w:sz w:val="23"/>
          <w:szCs w:val="23"/>
        </w:rPr>
      </w:pPr>
      <w:r>
        <w:rPr>
          <w:rFonts w:ascii="SimHei" w:hAnsi="SimHei" w:eastAsia="SimHei" w:cs="SimHei"/>
          <w:sz w:val="23"/>
          <w:szCs w:val="23"/>
          <w:b/>
          <w:bCs/>
          <w:spacing w:val="18"/>
        </w:rPr>
        <w:t>【高二历史</w:t>
      </w:r>
      <w:r>
        <w:rPr>
          <w:rFonts w:ascii="SimHei" w:hAnsi="SimHei" w:eastAsia="SimHei" w:cs="SimHei"/>
          <w:sz w:val="23"/>
          <w:szCs w:val="23"/>
          <w:spacing w:val="18"/>
        </w:rPr>
        <w:t xml:space="preserve">  </w:t>
      </w:r>
      <w:r>
        <w:rPr>
          <w:sz w:val="23"/>
          <w:szCs w:val="23"/>
          <w:spacing w:val="18"/>
        </w:rPr>
        <w:t>第4页(共6页)】</w:t>
      </w:r>
    </w:p>
    <w:p>
      <w:pPr>
        <w:spacing w:line="221" w:lineRule="auto"/>
        <w:sectPr>
          <w:pgSz w:w="11900" w:h="16840"/>
          <w:pgMar w:top="662" w:right="1149" w:bottom="0" w:left="780" w:header="0" w:footer="0" w:gutter="0"/>
        </w:sectPr>
        <w:rPr>
          <w:sz w:val="23"/>
          <w:szCs w:val="23"/>
        </w:rPr>
      </w:pPr>
    </w:p>
    <w:p>
      <w:pPr>
        <w:ind w:left="309" w:right="64" w:firstLine="3"/>
        <w:spacing w:before="50" w:line="402" w:lineRule="auto"/>
        <w:jc w:val="both"/>
        <w:rPr>
          <w:rFonts w:ascii="KaiTi" w:hAnsi="KaiTi" w:eastAsia="KaiTi" w:cs="KaiTi"/>
          <w:sz w:val="23"/>
          <w:szCs w:val="23"/>
        </w:rPr>
      </w:pPr>
      <w:r>
        <w:rPr>
          <w:rFonts w:ascii="SimHei" w:hAnsi="SimHei" w:eastAsia="SimHei" w:cs="SimHei"/>
          <w:sz w:val="23"/>
          <w:szCs w:val="23"/>
          <w:b/>
          <w:bCs/>
          <w:spacing w:val="7"/>
        </w:rPr>
        <w:t>材料二</w:t>
      </w:r>
      <w:r>
        <w:rPr>
          <w:rFonts w:ascii="SimHei" w:hAnsi="SimHei" w:eastAsia="SimHei" w:cs="SimHei"/>
          <w:sz w:val="23"/>
          <w:szCs w:val="23"/>
          <w:spacing w:val="7"/>
        </w:rPr>
        <w:t xml:space="preserve">  </w:t>
      </w:r>
      <w:r>
        <w:rPr>
          <w:rFonts w:ascii="KaiTi" w:hAnsi="KaiTi" w:eastAsia="KaiTi" w:cs="KaiTi"/>
          <w:sz w:val="23"/>
          <w:szCs w:val="23"/>
          <w:spacing w:val="7"/>
        </w:rPr>
        <w:t>党的十八大以后，基于对国内外形势的准</w:t>
      </w:r>
      <w:r>
        <w:rPr>
          <w:rFonts w:ascii="KaiTi" w:hAnsi="KaiTi" w:eastAsia="KaiTi" w:cs="KaiTi"/>
          <w:sz w:val="23"/>
          <w:szCs w:val="23"/>
          <w:spacing w:val="6"/>
        </w:rPr>
        <w:t>确把握，党中央开启了中国特色大国外交</w:t>
      </w:r>
      <w:r>
        <w:rPr>
          <w:rFonts w:ascii="KaiTi" w:hAnsi="KaiTi" w:eastAsia="KaiTi" w:cs="KaiTi"/>
          <w:sz w:val="23"/>
          <w:szCs w:val="23"/>
        </w:rPr>
        <w:t xml:space="preserve"> </w:t>
      </w:r>
      <w:r>
        <w:rPr>
          <w:rFonts w:ascii="KaiTi" w:hAnsi="KaiTi" w:eastAsia="KaiTi" w:cs="KaiTi"/>
          <w:sz w:val="23"/>
          <w:szCs w:val="23"/>
          <w:spacing w:val="-13"/>
        </w:rPr>
        <w:t>的新时代，提出“一带一路”倡议，创新合作模式，加强“五通”,即政策沟通、道路联通、贸易畅</w:t>
      </w:r>
      <w:r>
        <w:rPr>
          <w:rFonts w:ascii="KaiTi" w:hAnsi="KaiTi" w:eastAsia="KaiTi" w:cs="KaiTi"/>
          <w:sz w:val="23"/>
          <w:szCs w:val="23"/>
          <w:spacing w:val="8"/>
        </w:rPr>
        <w:t xml:space="preserve"> </w:t>
      </w:r>
      <w:r>
        <w:rPr>
          <w:rFonts w:ascii="KaiTi" w:hAnsi="KaiTi" w:eastAsia="KaiTi" w:cs="KaiTi"/>
          <w:sz w:val="23"/>
          <w:szCs w:val="23"/>
          <w:spacing w:val="-5"/>
        </w:rPr>
        <w:t>通、货币流通和民心相通，努力形成从点到面、从线到片的宏伟合作格局；发展“亲诚惠容”的</w:t>
      </w:r>
      <w:r>
        <w:rPr>
          <w:rFonts w:ascii="KaiTi" w:hAnsi="KaiTi" w:eastAsia="KaiTi" w:cs="KaiTi"/>
          <w:sz w:val="23"/>
          <w:szCs w:val="23"/>
          <w:spacing w:val="1"/>
        </w:rPr>
        <w:t xml:space="preserve"> </w:t>
      </w:r>
      <w:r>
        <w:rPr>
          <w:rFonts w:ascii="KaiTi" w:hAnsi="KaiTi" w:eastAsia="KaiTi" w:cs="KaiTi"/>
          <w:sz w:val="23"/>
          <w:szCs w:val="23"/>
          <w:spacing w:val="7"/>
        </w:rPr>
        <w:t>周边外交理念，拉近了中国周边的命运共同体</w:t>
      </w:r>
      <w:r>
        <w:rPr>
          <w:rFonts w:ascii="KaiTi" w:hAnsi="KaiTi" w:eastAsia="KaiTi" w:cs="KaiTi"/>
          <w:sz w:val="23"/>
          <w:szCs w:val="23"/>
          <w:spacing w:val="6"/>
        </w:rPr>
        <w:t>；提出构建人类命运共同体的倡议。这不仅是</w:t>
      </w:r>
      <w:r>
        <w:rPr>
          <w:rFonts w:ascii="KaiTi" w:hAnsi="KaiTi" w:eastAsia="KaiTi" w:cs="KaiTi"/>
          <w:sz w:val="23"/>
          <w:szCs w:val="23"/>
        </w:rPr>
        <w:t xml:space="preserve"> </w:t>
      </w:r>
      <w:r>
        <w:rPr>
          <w:rFonts w:ascii="KaiTi" w:hAnsi="KaiTi" w:eastAsia="KaiTi" w:cs="KaiTi"/>
          <w:sz w:val="23"/>
          <w:szCs w:val="23"/>
          <w:spacing w:val="6"/>
        </w:rPr>
        <w:t>中国外交的新理念，同时也是中国贡献给世界的中国声音、中国方</w:t>
      </w:r>
      <w:r>
        <w:rPr>
          <w:rFonts w:ascii="KaiTi" w:hAnsi="KaiTi" w:eastAsia="KaiTi" w:cs="KaiTi"/>
          <w:sz w:val="23"/>
          <w:szCs w:val="23"/>
          <w:spacing w:val="5"/>
        </w:rPr>
        <w:t>案，为当今世界的发展提</w:t>
      </w:r>
    </w:p>
    <w:p>
      <w:pPr>
        <w:ind w:left="309"/>
        <w:spacing w:line="225" w:lineRule="auto"/>
        <w:rPr>
          <w:rFonts w:ascii="KaiTi" w:hAnsi="KaiTi" w:eastAsia="KaiTi" w:cs="KaiTi"/>
          <w:sz w:val="23"/>
          <w:szCs w:val="23"/>
        </w:rPr>
      </w:pPr>
      <w:r>
        <w:rPr>
          <w:rFonts w:ascii="KaiTi" w:hAnsi="KaiTi" w:eastAsia="KaiTi" w:cs="KaiTi"/>
          <w:sz w:val="23"/>
          <w:szCs w:val="23"/>
          <w:spacing w:val="12"/>
        </w:rPr>
        <w:t>供了新的价值观和路线图。</w:t>
      </w:r>
    </w:p>
    <w:p>
      <w:pPr>
        <w:spacing w:before="265" w:line="506" w:lineRule="exact"/>
        <w:jc w:val="right"/>
        <w:rPr>
          <w:rFonts w:ascii="KaiTi" w:hAnsi="KaiTi" w:eastAsia="KaiTi" w:cs="KaiTi"/>
          <w:sz w:val="23"/>
          <w:szCs w:val="23"/>
        </w:rPr>
      </w:pPr>
      <w:r>
        <w:rPr>
          <w:rFonts w:ascii="KaiTi" w:hAnsi="KaiTi" w:eastAsia="KaiTi" w:cs="KaiTi"/>
          <w:sz w:val="23"/>
          <w:szCs w:val="23"/>
          <w:spacing w:val="6"/>
          <w:position w:val="20"/>
        </w:rPr>
        <w:t>——摘编自沈昊《改革开放以来中国外交政策与理念调整的历程与启示》</w:t>
      </w:r>
    </w:p>
    <w:p>
      <w:pPr>
        <w:pStyle w:val="BodyText"/>
        <w:ind w:left="309"/>
        <w:spacing w:line="218" w:lineRule="auto"/>
        <w:rPr>
          <w:sz w:val="23"/>
          <w:szCs w:val="23"/>
        </w:rPr>
      </w:pPr>
      <w:r>
        <w:rPr>
          <w:sz w:val="23"/>
          <w:szCs w:val="23"/>
          <w:spacing w:val="4"/>
        </w:rPr>
        <w:t>(1)根据材料一并结合所学知识，简析新中国初期“一边倒”外</w:t>
      </w:r>
      <w:r>
        <w:rPr>
          <w:sz w:val="23"/>
          <w:szCs w:val="23"/>
          <w:spacing w:val="3"/>
        </w:rPr>
        <w:t>交战略的作用。(6分)</w:t>
      </w:r>
    </w:p>
    <w:p>
      <w:pPr>
        <w:pStyle w:val="BodyText"/>
        <w:ind w:left="309"/>
        <w:spacing w:before="237" w:line="501" w:lineRule="exact"/>
        <w:rPr>
          <w:sz w:val="23"/>
          <w:szCs w:val="23"/>
        </w:rPr>
      </w:pPr>
      <w:r>
        <w:rPr>
          <w:sz w:val="23"/>
          <w:szCs w:val="23"/>
          <w:spacing w:val="8"/>
          <w:position w:val="20"/>
        </w:rPr>
        <w:t>(2)根据材料二并结合所学知识，概括中共十八大以来中国特色大国外</w:t>
      </w:r>
      <w:r>
        <w:rPr>
          <w:sz w:val="23"/>
          <w:szCs w:val="23"/>
          <w:spacing w:val="7"/>
          <w:position w:val="20"/>
        </w:rPr>
        <w:t>交的主要表现，并指</w:t>
      </w:r>
    </w:p>
    <w:p>
      <w:pPr>
        <w:pStyle w:val="BodyText"/>
        <w:ind w:left="729"/>
        <w:spacing w:line="219" w:lineRule="auto"/>
        <w:rPr>
          <w:sz w:val="23"/>
          <w:szCs w:val="23"/>
        </w:rPr>
      </w:pPr>
      <w:r>
        <w:rPr>
          <w:sz w:val="23"/>
          <w:szCs w:val="23"/>
          <w:spacing w:val="14"/>
        </w:rPr>
        <w:t>出影响国家外交政策调整的因素。(8分)</w:t>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pStyle w:val="BodyText"/>
        <w:spacing w:before="75" w:line="219" w:lineRule="auto"/>
        <w:rPr>
          <w:sz w:val="23"/>
          <w:szCs w:val="23"/>
        </w:rPr>
      </w:pPr>
      <w:r>
        <w:rPr>
          <w:sz w:val="23"/>
          <w:szCs w:val="23"/>
          <w:spacing w:val="7"/>
        </w:rPr>
        <w:t>19.阅读材料，完成下列要求。(14分)</w:t>
      </w:r>
    </w:p>
    <w:p>
      <w:pPr>
        <w:ind w:left="309"/>
        <w:spacing w:before="196" w:line="500" w:lineRule="exact"/>
        <w:rPr>
          <w:rFonts w:ascii="KaiTi" w:hAnsi="KaiTi" w:eastAsia="KaiTi" w:cs="KaiTi"/>
          <w:sz w:val="23"/>
          <w:szCs w:val="23"/>
        </w:rPr>
      </w:pPr>
      <w:r>
        <w:rPr>
          <w:rFonts w:ascii="KaiTi" w:hAnsi="KaiTi" w:eastAsia="KaiTi" w:cs="KaiTi"/>
          <w:sz w:val="23"/>
          <w:szCs w:val="23"/>
          <w:spacing w:val="1"/>
          <w:position w:val="20"/>
        </w:rPr>
        <w:t>材</w:t>
      </w:r>
      <w:r>
        <w:rPr>
          <w:rFonts w:ascii="SimHei" w:hAnsi="SimHei" w:eastAsia="SimHei" w:cs="SimHei"/>
          <w:sz w:val="23"/>
          <w:szCs w:val="23"/>
          <w:b/>
          <w:bCs/>
          <w:spacing w:val="1"/>
          <w:position w:val="20"/>
        </w:rPr>
        <w:t>料一</w:t>
      </w:r>
      <w:r>
        <w:rPr>
          <w:rFonts w:ascii="SimHei" w:hAnsi="SimHei" w:eastAsia="SimHei" w:cs="SimHei"/>
          <w:sz w:val="23"/>
          <w:szCs w:val="23"/>
          <w:spacing w:val="1"/>
          <w:position w:val="20"/>
        </w:rPr>
        <w:t xml:space="preserve">  </w:t>
      </w:r>
      <w:r>
        <w:rPr>
          <w:rFonts w:ascii="KaiTi" w:hAnsi="KaiTi" w:eastAsia="KaiTi" w:cs="KaiTi"/>
          <w:sz w:val="23"/>
          <w:szCs w:val="23"/>
          <w:b/>
          <w:bCs/>
          <w:spacing w:val="1"/>
          <w:position w:val="20"/>
        </w:rPr>
        <w:t>二战结束以后，以英国为代表的西方国家立即着手进行福利国家建设。首先，建立</w:t>
      </w:r>
    </w:p>
    <w:p>
      <w:pPr>
        <w:ind w:left="313"/>
        <w:spacing w:line="220" w:lineRule="auto"/>
        <w:rPr>
          <w:rFonts w:ascii="KaiTi" w:hAnsi="KaiTi" w:eastAsia="KaiTi" w:cs="KaiTi"/>
          <w:sz w:val="23"/>
          <w:szCs w:val="23"/>
        </w:rPr>
      </w:pPr>
      <w:r>
        <w:rPr>
          <w:rFonts w:ascii="KaiTi" w:hAnsi="KaiTi" w:eastAsia="KaiTi" w:cs="KaiTi"/>
          <w:sz w:val="23"/>
          <w:szCs w:val="23"/>
          <w:b/>
          <w:bCs/>
          <w:spacing w:val="4"/>
        </w:rPr>
        <w:t>了完善的社会保障法律体系，如英国1946年颁布了“国民保险法”和“国民医疗保健法”,</w:t>
      </w:r>
    </w:p>
    <w:p>
      <w:pPr>
        <w:ind w:left="309" w:right="171"/>
        <w:spacing w:before="230" w:line="401" w:lineRule="auto"/>
        <w:jc w:val="both"/>
        <w:rPr>
          <w:rFonts w:ascii="KaiTi" w:hAnsi="KaiTi" w:eastAsia="KaiTi" w:cs="KaiTi"/>
          <w:sz w:val="23"/>
          <w:szCs w:val="23"/>
        </w:rPr>
      </w:pPr>
      <w:r>
        <w:rPr>
          <w:rFonts w:ascii="KaiTi" w:hAnsi="KaiTi" w:eastAsia="KaiTi" w:cs="KaiTi"/>
          <w:sz w:val="23"/>
          <w:szCs w:val="23"/>
          <w:spacing w:val="9"/>
        </w:rPr>
        <w:t>1948年颁布了“国民救济法”。其次，统一了社会保障事务的管理体制。如英国</w:t>
      </w:r>
      <w:r>
        <w:rPr>
          <w:rFonts w:ascii="KaiTi" w:hAnsi="KaiTi" w:eastAsia="KaiTi" w:cs="KaiTi"/>
          <w:sz w:val="23"/>
          <w:szCs w:val="23"/>
          <w:spacing w:val="8"/>
        </w:rPr>
        <w:t>从1944年</w:t>
      </w:r>
      <w:r>
        <w:rPr>
          <w:rFonts w:ascii="KaiTi" w:hAnsi="KaiTi" w:eastAsia="KaiTi" w:cs="KaiTi"/>
          <w:sz w:val="23"/>
          <w:szCs w:val="23"/>
        </w:rPr>
        <w:t xml:space="preserve"> </w:t>
      </w:r>
      <w:r>
        <w:rPr>
          <w:rFonts w:ascii="KaiTi" w:hAnsi="KaiTi" w:eastAsia="KaiTi" w:cs="KaiTi"/>
          <w:sz w:val="23"/>
          <w:szCs w:val="23"/>
          <w:spacing w:val="4"/>
        </w:rPr>
        <w:t>起就实现了对社会保险、社会补助和社会救济项目</w:t>
      </w:r>
      <w:r>
        <w:rPr>
          <w:rFonts w:ascii="KaiTi" w:hAnsi="KaiTi" w:eastAsia="KaiTi" w:cs="KaiTi"/>
          <w:sz w:val="23"/>
          <w:szCs w:val="23"/>
          <w:spacing w:val="3"/>
        </w:rPr>
        <w:t>的统一设计、统一管理和统一实施，最终</w:t>
      </w:r>
      <w:r>
        <w:rPr>
          <w:rFonts w:ascii="KaiTi" w:hAnsi="KaiTi" w:eastAsia="KaiTi" w:cs="KaiTi"/>
          <w:sz w:val="23"/>
          <w:szCs w:val="23"/>
        </w:rPr>
        <w:t xml:space="preserve"> </w:t>
      </w:r>
      <w:r>
        <w:rPr>
          <w:rFonts w:ascii="KaiTi" w:hAnsi="KaiTi" w:eastAsia="KaiTi" w:cs="KaiTi"/>
          <w:sz w:val="23"/>
          <w:szCs w:val="23"/>
          <w:spacing w:val="-1"/>
        </w:rPr>
        <w:t>确立了“福利”与“国家”之间的联结关系。20世纪50—70年</w:t>
      </w:r>
      <w:r>
        <w:rPr>
          <w:rFonts w:ascii="KaiTi" w:hAnsi="KaiTi" w:eastAsia="KaiTi" w:cs="KaiTi"/>
          <w:sz w:val="23"/>
          <w:szCs w:val="23"/>
          <w:spacing w:val="-2"/>
        </w:rPr>
        <w:t>代，北欧等发达国家，仿效英国</w:t>
      </w:r>
    </w:p>
    <w:p>
      <w:pPr>
        <w:ind w:left="309"/>
        <w:spacing w:line="220" w:lineRule="auto"/>
        <w:rPr>
          <w:rFonts w:ascii="KaiTi" w:hAnsi="KaiTi" w:eastAsia="KaiTi" w:cs="KaiTi"/>
          <w:sz w:val="23"/>
          <w:szCs w:val="23"/>
        </w:rPr>
      </w:pPr>
      <w:r>
        <w:rPr>
          <w:rFonts w:ascii="KaiTi" w:hAnsi="KaiTi" w:eastAsia="KaiTi" w:cs="KaiTi"/>
          <w:sz w:val="23"/>
          <w:szCs w:val="23"/>
          <w:spacing w:val="-2"/>
        </w:rPr>
        <w:t>的做法，完善了其社会福利制度，使社会福利涉及到大多数人，甚至是社会全体成员。</w:t>
      </w:r>
    </w:p>
    <w:p>
      <w:pPr>
        <w:ind w:left="313" w:right="90" w:firstLine="3416"/>
        <w:spacing w:before="252" w:line="415" w:lineRule="auto"/>
        <w:jc w:val="both"/>
        <w:rPr>
          <w:rFonts w:ascii="KaiTi" w:hAnsi="KaiTi" w:eastAsia="KaiTi" w:cs="KaiTi"/>
          <w:sz w:val="23"/>
          <w:szCs w:val="23"/>
        </w:rPr>
      </w:pPr>
      <w:r>
        <w:rPr>
          <w:rFonts w:ascii="KaiTi" w:hAnsi="KaiTi" w:eastAsia="KaiTi" w:cs="KaiTi"/>
          <w:sz w:val="23"/>
          <w:szCs w:val="23"/>
          <w:spacing w:val="2"/>
        </w:rPr>
        <w:t>——摘编自周良才《对西方国家社会福利制度的几点认识》</w:t>
      </w:r>
      <w:r>
        <w:rPr>
          <w:rFonts w:ascii="KaiTi" w:hAnsi="KaiTi" w:eastAsia="KaiTi" w:cs="KaiTi"/>
          <w:sz w:val="23"/>
          <w:szCs w:val="23"/>
          <w:spacing w:val="2"/>
        </w:rPr>
        <w:t xml:space="preserve"> </w:t>
      </w:r>
      <w:r>
        <w:rPr>
          <w:rFonts w:ascii="SimHei" w:hAnsi="SimHei" w:eastAsia="SimHei" w:cs="SimHei"/>
          <w:sz w:val="23"/>
          <w:szCs w:val="23"/>
          <w:b/>
          <w:bCs/>
          <w:color w:val="000002"/>
          <w:spacing w:val="9"/>
        </w:rPr>
        <w:t>材料二</w:t>
      </w:r>
      <w:r>
        <w:rPr>
          <w:rFonts w:ascii="SimHei" w:hAnsi="SimHei" w:eastAsia="SimHei" w:cs="SimHei"/>
          <w:sz w:val="23"/>
          <w:szCs w:val="23"/>
          <w:color w:val="000002"/>
          <w:spacing w:val="9"/>
        </w:rPr>
        <w:t xml:space="preserve">  </w:t>
      </w:r>
      <w:r>
        <w:rPr>
          <w:rFonts w:ascii="KaiTi" w:hAnsi="KaiTi" w:eastAsia="KaiTi" w:cs="KaiTi"/>
          <w:sz w:val="23"/>
          <w:szCs w:val="23"/>
          <w:spacing w:val="9"/>
        </w:rPr>
        <w:t>福利制度是战后发达资本主义国家以税收的形式把一部分国民收入集中起来，而</w:t>
      </w:r>
    </w:p>
    <w:p>
      <w:pPr>
        <w:ind w:left="309"/>
        <w:spacing w:line="220" w:lineRule="auto"/>
        <w:rPr>
          <w:rFonts w:ascii="KaiTi" w:hAnsi="KaiTi" w:eastAsia="KaiTi" w:cs="KaiTi"/>
          <w:sz w:val="23"/>
          <w:szCs w:val="23"/>
        </w:rPr>
      </w:pPr>
      <w:r>
        <w:rPr>
          <w:rFonts w:ascii="KaiTi" w:hAnsi="KaiTi" w:eastAsia="KaiTi" w:cs="KaiTi"/>
          <w:sz w:val="23"/>
          <w:szCs w:val="23"/>
          <w:spacing w:val="12"/>
        </w:rPr>
        <w:t>后用于社会上收入不高的居民，以部分改善他们在初次分配中收入过低状况的一种制度。</w:t>
      </w:r>
    </w:p>
    <w:p>
      <w:pPr>
        <w:ind w:left="309"/>
        <w:spacing w:before="236" w:line="495" w:lineRule="exact"/>
        <w:rPr>
          <w:rFonts w:ascii="KaiTi" w:hAnsi="KaiTi" w:eastAsia="KaiTi" w:cs="KaiTi"/>
          <w:sz w:val="23"/>
          <w:szCs w:val="23"/>
        </w:rPr>
      </w:pPr>
      <w:r>
        <w:rPr>
          <w:rFonts w:ascii="KaiTi" w:hAnsi="KaiTi" w:eastAsia="KaiTi" w:cs="KaiTi"/>
          <w:sz w:val="23"/>
          <w:szCs w:val="23"/>
          <w:spacing w:val="5"/>
          <w:position w:val="20"/>
        </w:rPr>
        <w:t>它是资产阶级政府采取的重要改良主义措施，是战后资本主义社会相对稳定、阶级矛盾趋于</w:t>
      </w:r>
    </w:p>
    <w:p>
      <w:pPr>
        <w:pStyle w:val="BodyText"/>
        <w:ind w:left="3198"/>
        <w:spacing w:before="1" w:line="221" w:lineRule="auto"/>
        <w:rPr>
          <w:sz w:val="23"/>
          <w:szCs w:val="23"/>
        </w:rPr>
      </w:pPr>
      <w:r>
        <w:rPr>
          <w:rFonts w:ascii="SimHei" w:hAnsi="SimHei" w:eastAsia="SimHei" w:cs="SimHei"/>
          <w:sz w:val="23"/>
          <w:szCs w:val="23"/>
          <w:b/>
          <w:bCs/>
          <w:spacing w:val="22"/>
        </w:rPr>
        <w:t>【高二历史</w:t>
      </w:r>
      <w:r>
        <w:rPr>
          <w:rFonts w:ascii="SimHei" w:hAnsi="SimHei" w:eastAsia="SimHei" w:cs="SimHei"/>
          <w:sz w:val="23"/>
          <w:szCs w:val="23"/>
          <w:spacing w:val="12"/>
        </w:rPr>
        <w:t xml:space="preserve">  </w:t>
      </w:r>
      <w:r>
        <w:rPr>
          <w:sz w:val="23"/>
          <w:szCs w:val="23"/>
          <w:spacing w:val="22"/>
        </w:rPr>
        <w:t>第5页(共6页)】</w:t>
      </w:r>
    </w:p>
    <w:p>
      <w:pPr>
        <w:spacing w:line="221" w:lineRule="auto"/>
        <w:sectPr>
          <w:pgSz w:w="11900" w:h="16840"/>
          <w:pgMar w:top="662" w:right="1194" w:bottom="0" w:left="850" w:header="0" w:footer="0" w:gutter="0"/>
        </w:sectPr>
        <w:rPr>
          <w:sz w:val="23"/>
          <w:szCs w:val="23"/>
        </w:rPr>
      </w:pPr>
    </w:p>
    <w:p>
      <w:pPr>
        <w:ind w:left="309" w:right="185"/>
        <w:spacing w:before="50" w:line="395" w:lineRule="auto"/>
        <w:jc w:val="both"/>
        <w:rPr>
          <w:rFonts w:ascii="KaiTi" w:hAnsi="KaiTi" w:eastAsia="KaiTi" w:cs="KaiTi"/>
          <w:sz w:val="24"/>
          <w:szCs w:val="24"/>
        </w:rPr>
      </w:pPr>
      <w:r>
        <w:rPr>
          <w:rFonts w:ascii="KaiTi" w:hAnsi="KaiTi" w:eastAsia="KaiTi" w:cs="KaiTi"/>
          <w:sz w:val="24"/>
          <w:szCs w:val="24"/>
          <w:spacing w:val="-4"/>
        </w:rPr>
        <w:t>缓和的重要原因。然而，当代资本主义社会的福利制度在不断发展完备的同时，也带来了一</w:t>
      </w:r>
      <w:r>
        <w:rPr>
          <w:rFonts w:ascii="KaiTi" w:hAnsi="KaiTi" w:eastAsia="KaiTi" w:cs="KaiTi"/>
          <w:sz w:val="24"/>
          <w:szCs w:val="24"/>
          <w:spacing w:val="1"/>
        </w:rPr>
        <w:t xml:space="preserve"> </w:t>
      </w:r>
      <w:r>
        <w:rPr>
          <w:rFonts w:ascii="KaiTi" w:hAnsi="KaiTi" w:eastAsia="KaiTi" w:cs="KaiTi"/>
          <w:sz w:val="24"/>
          <w:szCs w:val="24"/>
          <w:spacing w:val="-10"/>
        </w:rPr>
        <w:t>系列弊端，产生了失业危机、财政危机、老龄危机、社会危机、观念危机、制度危机和政治危</w:t>
      </w:r>
    </w:p>
    <w:p>
      <w:pPr>
        <w:ind w:left="309"/>
        <w:spacing w:before="1" w:line="225" w:lineRule="auto"/>
        <w:rPr>
          <w:rFonts w:ascii="KaiTi" w:hAnsi="KaiTi" w:eastAsia="KaiTi" w:cs="KaiTi"/>
          <w:sz w:val="24"/>
          <w:szCs w:val="24"/>
        </w:rPr>
      </w:pPr>
      <w:r>
        <w:rPr>
          <w:rFonts w:ascii="KaiTi" w:hAnsi="KaiTi" w:eastAsia="KaiTi" w:cs="KaiTi"/>
          <w:sz w:val="24"/>
          <w:szCs w:val="24"/>
          <w:spacing w:val="-9"/>
        </w:rPr>
        <w:t>机等。</w:t>
      </w:r>
    </w:p>
    <w:p>
      <w:pPr>
        <w:ind w:right="36"/>
        <w:spacing w:before="160" w:line="537" w:lineRule="exact"/>
        <w:jc w:val="right"/>
        <w:rPr>
          <w:rFonts w:ascii="KaiTi" w:hAnsi="KaiTi" w:eastAsia="KaiTi" w:cs="KaiTi"/>
          <w:sz w:val="24"/>
          <w:szCs w:val="24"/>
        </w:rPr>
      </w:pPr>
      <w:r>
        <w:rPr>
          <w:rFonts w:ascii="KaiTi" w:hAnsi="KaiTi" w:eastAsia="KaiTi" w:cs="KaiTi"/>
          <w:sz w:val="24"/>
          <w:szCs w:val="24"/>
          <w:spacing w:val="-3"/>
          <w:position w:val="22"/>
        </w:rPr>
        <w:t>——摘编自肖爱民《当代资本主义社会福利制度利弊分析》</w:t>
      </w:r>
    </w:p>
    <w:p>
      <w:pPr>
        <w:pStyle w:val="BodyText"/>
        <w:ind w:left="309"/>
        <w:spacing w:line="218" w:lineRule="auto"/>
        <w:rPr/>
      </w:pPr>
      <w:r>
        <w:rPr>
          <w:spacing w:val="1"/>
        </w:rPr>
        <w:t>(1)根据材料一并结合所学知识，概括西方国</w:t>
      </w:r>
      <w:r>
        <w:rPr/>
        <w:t>家社会福利制度的特点。(6分)</w:t>
      </w:r>
    </w:p>
    <w:p>
      <w:pPr>
        <w:pStyle w:val="BodyText"/>
        <w:ind w:left="309"/>
        <w:spacing w:before="215" w:line="219" w:lineRule="auto"/>
        <w:rPr/>
      </w:pPr>
      <w:r>
        <w:rPr>
          <w:spacing w:val="-3"/>
        </w:rPr>
        <w:t>(2)根据材料一、二并结合所学知识，分析西方国家社会福利制度的影响。(8分)</w:t>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pStyle w:val="BodyText"/>
        <w:spacing w:before="78" w:line="219" w:lineRule="auto"/>
        <w:rPr/>
      </w:pPr>
      <w:r>
        <w:rPr>
          <w:spacing w:val="1"/>
        </w:rPr>
        <w:t>20.阅读材料，完成下列要求。(12分)</w:t>
      </w:r>
    </w:p>
    <w:p>
      <w:pPr>
        <w:pStyle w:val="BodyText"/>
        <w:ind w:left="309" w:right="80" w:firstLine="3"/>
        <w:spacing w:before="180" w:line="372" w:lineRule="auto"/>
        <w:jc w:val="both"/>
        <w:rPr/>
      </w:pPr>
      <w:r>
        <w:rPr>
          <w:rFonts w:ascii="SimHei" w:hAnsi="SimHei" w:eastAsia="SimHei" w:cs="SimHei"/>
          <w:b/>
          <w:bCs/>
          <w:spacing w:val="-12"/>
        </w:rPr>
        <w:t>材料</w:t>
      </w:r>
      <w:r>
        <w:rPr>
          <w:rFonts w:ascii="SimHei" w:hAnsi="SimHei" w:eastAsia="SimHei" w:cs="SimHei"/>
          <w:spacing w:val="-12"/>
        </w:rPr>
        <w:t xml:space="preserve">  </w:t>
      </w:r>
      <w:r>
        <w:rPr>
          <w:rFonts w:ascii="STXinwei" w:hAnsi="STXinwei" w:eastAsia="STXinwei" w:cs="STXinwei"/>
          <w:spacing w:val="-12"/>
        </w:rPr>
        <w:t>民主的基本含义是“人民的权利”</w:t>
      </w:r>
      <w:r>
        <w:rPr>
          <w:rFonts w:ascii="STXinwei" w:hAnsi="STXinwei" w:eastAsia="STXinwei" w:cs="STXinwei"/>
          <w:spacing w:val="-13"/>
        </w:rPr>
        <w:t>“人民进行治理、统治”。但民主是阶级斗争的产物。</w:t>
      </w:r>
      <w:r>
        <w:rPr>
          <w:rFonts w:ascii="STXinwei" w:hAnsi="STXinwei" w:eastAsia="STXinwei" w:cs="STXinwei"/>
        </w:rPr>
        <w:t xml:space="preserve"> </w:t>
      </w:r>
      <w:r>
        <w:rPr>
          <w:rFonts w:ascii="KaiTi" w:hAnsi="KaiTi" w:eastAsia="KaiTi" w:cs="KaiTi"/>
          <w:spacing w:val="-4"/>
        </w:rPr>
        <w:t>在阶级社会中，民主是服务于统治阶级的。作为上层建筑的一部分，民主由一定的经济基础</w:t>
      </w:r>
      <w:r>
        <w:rPr>
          <w:rFonts w:ascii="KaiTi" w:hAnsi="KaiTi" w:eastAsia="KaiTi" w:cs="KaiTi"/>
          <w:spacing w:val="1"/>
        </w:rPr>
        <w:t xml:space="preserve">  </w:t>
      </w:r>
      <w:r>
        <w:rPr>
          <w:spacing w:val="-9"/>
        </w:rPr>
        <w:t>决定，它势必会服务于决定自身的经济基础。“任何民</w:t>
      </w:r>
      <w:r>
        <w:rPr>
          <w:spacing w:val="-10"/>
        </w:rPr>
        <w:t>主，和任何政治上层建筑一样，归根到</w:t>
      </w:r>
    </w:p>
    <w:p>
      <w:pPr>
        <w:ind w:left="309"/>
        <w:spacing w:line="220" w:lineRule="auto"/>
        <w:rPr>
          <w:rFonts w:ascii="KaiTi" w:hAnsi="KaiTi" w:eastAsia="KaiTi" w:cs="KaiTi"/>
          <w:sz w:val="24"/>
          <w:szCs w:val="24"/>
        </w:rPr>
      </w:pPr>
      <w:r>
        <w:rPr>
          <w:rFonts w:ascii="KaiTi" w:hAnsi="KaiTi" w:eastAsia="KaiTi" w:cs="KaiTi"/>
          <w:sz w:val="24"/>
          <w:szCs w:val="24"/>
          <w:spacing w:val="-4"/>
        </w:rPr>
        <w:t>底是为生产服务的，并且归根到底是由该社</w:t>
      </w:r>
      <w:r>
        <w:rPr>
          <w:rFonts w:ascii="KaiTi" w:hAnsi="KaiTi" w:eastAsia="KaiTi" w:cs="KaiTi"/>
          <w:sz w:val="24"/>
          <w:szCs w:val="24"/>
          <w:spacing w:val="-5"/>
        </w:rPr>
        <w:t>会中的生产关系决定的。”</w:t>
      </w:r>
    </w:p>
    <w:p>
      <w:pPr>
        <w:pStyle w:val="BodyText"/>
        <w:ind w:left="309" w:firstLine="3959"/>
        <w:spacing w:before="251" w:line="389" w:lineRule="auto"/>
        <w:jc w:val="both"/>
        <w:rPr/>
      </w:pPr>
      <w:r>
        <w:rPr>
          <w:rFonts w:ascii="KaiTi" w:hAnsi="KaiTi" w:eastAsia="KaiTi" w:cs="KaiTi"/>
          <w:spacing w:val="-4"/>
        </w:rPr>
        <w:t>——摘编自雷晓欢《当代资本主义民主理念及其批判》</w:t>
      </w:r>
      <w:r>
        <w:rPr>
          <w:rFonts w:ascii="KaiTi" w:hAnsi="KaiTi" w:eastAsia="KaiTi" w:cs="KaiTi"/>
          <w:spacing w:val="5"/>
        </w:rPr>
        <w:t xml:space="preserve"> </w:t>
      </w:r>
      <w:r>
        <w:rPr>
          <w:spacing w:val="-12"/>
        </w:rPr>
        <w:t>结合材料与所学世界史的相关知识，围绕民主的“历史性”或“阶级性”,自行拟定一个具体的</w:t>
      </w:r>
    </w:p>
    <w:p>
      <w:pPr>
        <w:pStyle w:val="BodyText"/>
        <w:ind w:left="309"/>
        <w:spacing w:before="1" w:line="218" w:lineRule="auto"/>
        <w:rPr/>
      </w:pPr>
      <w:r>
        <w:rPr>
          <w:spacing w:val="-12"/>
        </w:rPr>
        <w:t>论题，并就所拟论题进行简要阐述。(要求：论题明确，史论结合)</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BodyText"/>
        <w:ind w:left="3233"/>
        <w:spacing w:before="78" w:line="222" w:lineRule="auto"/>
        <w:rPr/>
      </w:pPr>
      <w:r>
        <w:rPr>
          <w:rFonts w:ascii="SimHei" w:hAnsi="SimHei" w:eastAsia="SimHei" w:cs="SimHei"/>
          <w:b/>
          <w:bCs/>
          <w:spacing w:val="15"/>
        </w:rPr>
        <w:t>【高二历史</w:t>
      </w:r>
      <w:r>
        <w:rPr>
          <w:rFonts w:ascii="SimHei" w:hAnsi="SimHei" w:eastAsia="SimHei" w:cs="SimHei"/>
          <w:spacing w:val="6"/>
        </w:rPr>
        <w:t xml:space="preserve">  </w:t>
      </w:r>
      <w:r>
        <w:rPr>
          <w:spacing w:val="15"/>
        </w:rPr>
        <w:t>第6页(共6页)】</w:t>
      </w:r>
    </w:p>
    <w:sectPr>
      <w:pgSz w:w="11900" w:h="16840"/>
      <w:pgMar w:top="620" w:right="1149" w:bottom="0" w:left="810"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 w:type="paragraph" w:styleId="TableText">
    <w:name w:val="Table Text"/>
    <w:basedOn w:val="Normal"/>
    <w:semiHidden/>
    <w:qFormat/>
    <w:pPr/>
    <w:rPr>
      <w:rFonts w:ascii="SimSun" w:hAnsi="SimSun" w:eastAsia="SimSun" w:cs="SimSun"/>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styles" Target="styles.xml"/><Relationship Id="rId2" Type="http://schemas.openxmlformats.org/officeDocument/2006/relationships/settings" Target="settings.xml"/><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2024-01-19T12:15:03Z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2024-01-19T12:15:03</vt:filetime>
  </property>
  <property fmtid="{D5CDD505-2E9C-101B-9397-08002B2CF9AE}" pid="4" name="UsrData">
    <vt:lpwstr>65a9f7436b8a5b001fabda0bwl</vt:lpwstr>
  </property>
</Properties>
</file>