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'1.0' encoding='UTF-8' standalone='yes'?>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Times New Roman" w:hAnsi="Times New Roman" w:eastAsia="华文中宋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32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12331700</wp:posOffset>
            </wp:positionH>
            <wp:positionV relativeFrom="topMargin">
              <wp:posOffset>12293600</wp:posOffset>
            </wp:positionV>
            <wp:extent cx="368300" cy="406400"/>
            <wp:effectExtent l="0" t="0" r="0" b="0"/>
            <wp:wrapNone/>
            <wp:docPr id="100014" name="图片 100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14" name="图片 10001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40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32"/>
          <w:szCs w:val="32"/>
        </w:rPr>
        <w:t xml:space="preserve">2023-2024 </w:t>
      </w:r>
      <w:r>
        <w:rPr>
          <w:rFonts w:hint="default" w:ascii="Times New Roman" w:hAnsi="Times New Roman" w:eastAsia="华文中宋" w:cs="Times New Roman"/>
          <w:b w:val="0"/>
          <w:bCs w:val="0"/>
          <w:color w:val="000000"/>
          <w:sz w:val="32"/>
          <w:szCs w:val="32"/>
        </w:rPr>
        <w:t>学年高三上学期期末考试</w:t>
      </w:r>
    </w:p>
    <w:p>
      <w:pPr>
        <w:jc w:val="center"/>
        <w:rPr>
          <w:rFonts w:hint="default" w:ascii="Times New Roman" w:hAnsi="Times New Roman" w:eastAsia="华文中宋" w:cs="Times New Roman"/>
          <w:b w:val="0"/>
          <w:bCs w:val="0"/>
          <w:color w:val="000000"/>
          <w:sz w:val="32"/>
          <w:szCs w:val="32"/>
        </w:rPr>
      </w:pPr>
      <w:r>
        <w:rPr>
          <w:rFonts w:hint="default" w:ascii="Times New Roman" w:hAnsi="Times New Roman" w:eastAsia="华文中宋" w:cs="Times New Roman"/>
          <w:b w:val="0"/>
          <w:bCs w:val="0"/>
          <w:color w:val="000000"/>
          <w:sz w:val="32"/>
          <w:szCs w:val="32"/>
        </w:rPr>
        <w:t>历史学科试题</w:t>
      </w:r>
    </w:p>
    <w:p>
      <w:pPr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</w:rPr>
        <w:t>（考试时间：</w:t>
      </w:r>
      <w:r>
        <w:rPr>
          <w:rFonts w:hint="default" w:ascii="Times New Roman" w:hAnsi="Times New Roman" w:eastAsia="TimesNewRomanPS-BoldMT" w:cs="Times New Roman"/>
          <w:b w:val="0"/>
          <w:bCs w:val="0"/>
          <w:color w:val="000000"/>
          <w:sz w:val="21"/>
          <w:szCs w:val="21"/>
        </w:rPr>
        <w:t xml:space="preserve">75 </w:t>
      </w:r>
      <w:r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</w:rPr>
        <w:t>分钟 试卷满分：</w:t>
      </w:r>
      <w:r>
        <w:rPr>
          <w:rFonts w:hint="default" w:ascii="Times New Roman" w:hAnsi="Times New Roman" w:eastAsia="TimesNewRomanPS-BoldMT" w:cs="Times New Roman"/>
          <w:b w:val="0"/>
          <w:bCs w:val="0"/>
          <w:color w:val="000000"/>
          <w:sz w:val="21"/>
          <w:szCs w:val="21"/>
        </w:rPr>
        <w:t xml:space="preserve">100 </w:t>
      </w:r>
      <w:r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</w:rPr>
        <w:t xml:space="preserve">分） 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</w:rPr>
        <w:t>第</w:t>
      </w:r>
      <w:r>
        <w:rPr>
          <w:rFonts w:hint="default" w:ascii="Times New Roman" w:hAnsi="Times New Roman" w:eastAsia="TimesNewRomanPS-BoldMT" w:cs="Times New Roman"/>
          <w:b w:val="0"/>
          <w:bCs w:val="0"/>
          <w:color w:val="000000"/>
          <w:sz w:val="28"/>
          <w:szCs w:val="28"/>
        </w:rPr>
        <w:t>Ⅰ</w:t>
      </w:r>
      <w:r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</w:rPr>
        <w:t>卷（选择题）</w:t>
      </w:r>
    </w:p>
    <w:p>
      <w:pPr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</w:rPr>
        <w:t xml:space="preserve">一、单项选择题（每题 </w:t>
      </w:r>
      <w:r>
        <w:rPr>
          <w:rFonts w:hint="default" w:ascii="Times New Roman" w:hAnsi="Times New Roman" w:eastAsia="TimesNewRomanPS-BoldMT" w:cs="Times New Roman"/>
          <w:b w:val="0"/>
          <w:bCs w:val="0"/>
          <w:color w:val="000000"/>
          <w:sz w:val="21"/>
          <w:szCs w:val="21"/>
        </w:rPr>
        <w:t xml:space="preserve">3 </w:t>
      </w:r>
      <w:r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</w:rPr>
        <w:t xml:space="preserve">分，共 </w:t>
      </w:r>
      <w:r>
        <w:rPr>
          <w:rFonts w:hint="default" w:ascii="Times New Roman" w:hAnsi="Times New Roman" w:eastAsia="TimesNewRomanPS-BoldMT" w:cs="Times New Roman"/>
          <w:b w:val="0"/>
          <w:bCs w:val="0"/>
          <w:color w:val="000000"/>
          <w:sz w:val="21"/>
          <w:szCs w:val="21"/>
        </w:rPr>
        <w:t xml:space="preserve">16 </w:t>
      </w:r>
      <w:r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</w:rPr>
        <w:t xml:space="preserve">题，共 </w:t>
      </w:r>
      <w:r>
        <w:rPr>
          <w:rFonts w:hint="default" w:ascii="Times New Roman" w:hAnsi="Times New Roman" w:eastAsia="TimesNewRomanPS-BoldMT" w:cs="Times New Roman"/>
          <w:b w:val="0"/>
          <w:bCs w:val="0"/>
          <w:color w:val="000000"/>
          <w:sz w:val="21"/>
          <w:szCs w:val="21"/>
        </w:rPr>
        <w:t xml:space="preserve">48 </w:t>
      </w:r>
      <w:r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</w:rPr>
        <w:t xml:space="preserve">分）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1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．二里头遗址的聚落面积已达 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 xml:space="preserve">300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万平方米以上，宫殿区以南有手工业作坊区，其中具 有规模的绿松石手工业作坊可能已经开始形成链条式生产模式。据此可知（ ）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A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．初期王朝国家具有一定的体能 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B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．原始聚落水平呈现等级差异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C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．手工业是早期文明产生的前提 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D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．早期国家城市布局相对合理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2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．据历史记载，战国时期各诸侯国君主都不得不采取授田制，将土地按照一定标准直接 分给个体农户耕种，不再需要“千耦其耘”式的劳作。这一举措（ ）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A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．根本上抑制了土地兼并 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B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．导致宗法分封开始瓦解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C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．受生产技术发展的影响 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D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．体现了强制耕战的思想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3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．班固批评《史记》详于前代史事而略汉史。而在《汉书》之中，班固则一切以汉室为 本，以歌颂汉德为尚。这主要反映了《汉书》（ ）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A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．编写的创新性 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B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．记载的主观性 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C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．修撰的政治性 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D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．评价的公正性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．下表为后周世宗柴荣的部分改革措施。这些措施的推行（ ）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sz w:val="21"/>
        </w:rPr>
        <w:pict>
          <v:shape id="文本框 2" o:spid="_x0000_s1025" o:spt="202" type="#_x0000_t202" style="position:absolute;left:0pt;margin-left:76.45pt;margin-top:5pt;height:144pt;width:144pt;mso-wrap-distance-bottom:0pt;mso-wrap-distance-left:9pt;mso-wrap-distance-right:9pt;mso-wrap-distance-top:0pt;mso-wrap-style:none;z-index:251660288;mso-width-relative:page;mso-height-relative:page;" fillcolor="#FFFFFF" filled="t" stroked="t" coordsize="21600,21600">
            <v:path/>
            <v:fill on="t" focussize="0,0"/>
            <v:stroke joinstyle="miter"/>
            <v:imagedata o:title=""/>
            <o:lock v:ext="edit" aspectratio="f"/>
            <v:textbox style="mso-fit-shape-to-text:t;">
              <w:txbxContent>
                <w:p>
                  <w:pP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000000"/>
                      <w:sz w:val="21"/>
                      <w:szCs w:val="21"/>
                    </w:rPr>
                    <w:t xml:space="preserve">组建中央军队，选拔强壮者充实其内 </w:t>
                  </w:r>
                </w:p>
                <w:p>
                  <w:pP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000000"/>
                      <w:sz w:val="21"/>
                      <w:szCs w:val="21"/>
                    </w:rPr>
                    <w:t xml:space="preserve">严肃军纪，裁汰老弱 </w:t>
                  </w:r>
                </w:p>
                <w:p>
                  <w:pP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000000"/>
                      <w:sz w:val="21"/>
                      <w:szCs w:val="21"/>
                    </w:rPr>
                    <w:t xml:space="preserve">荐举制度，地方官由皇帝亲自任命 </w:t>
                  </w:r>
                </w:p>
                <w:p>
                  <w:pP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000000"/>
                      <w:sz w:val="21"/>
                      <w:szCs w:val="21"/>
                    </w:rPr>
                  </w:pPr>
                  <w:r>
                    <w:rPr>
                      <w:rFonts w:hint="default" w:ascii="Times New Roman" w:hAnsi="Times New Roman" w:eastAsia="宋体" w:cs="Times New Roman"/>
                      <w:b w:val="0"/>
                      <w:bCs w:val="0"/>
                      <w:color w:val="000000"/>
                      <w:sz w:val="21"/>
                      <w:szCs w:val="21"/>
                    </w:rPr>
                    <w:t>对于在职的官吏还定期加以考核</w:t>
                  </w:r>
                </w:p>
              </w:txbxContent>
            </v:textbox>
            <w10:wrap type="square"/>
          </v:shape>
        </w:pic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 </w:t>
      </w:r>
    </w:p>
    <w:p>
      <w:pP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</w:pPr>
    </w:p>
    <w:p>
      <w:pP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</w:pPr>
    </w:p>
    <w:p>
      <w:pP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</w:pPr>
    </w:p>
    <w:p>
      <w:pP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</w:pP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A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．破坏了科举考试的公平 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B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．提高了人才选拔标准要求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C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．为唐朝盛世创造了条件 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D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．适应了统一和发展的趋势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5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>．北宋王朝承认山泽坑冶之利“当与众庶共之”，至和二年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(1055)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就下诏：“同州铁冶 自今召人承买之”。这从侧面说明当时（ ）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A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．社会经济活力有所增强 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B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．政府意在消除割据物质基础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C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．货币经济占据主导地位 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D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．传统的盐铁专卖制度被废止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6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．康熙帝在下令编写《大清一统志》时发现，收录的全国各地区地图存在“或一省有大 图而无小图；或一省有里数程途而无疆界”等问题。于是康熙帝借用南怀仁等西方传教士的力量，经过精确测绘完成了我国古代最精确的一幅全国地图《皇舆全览图》。这表 明清朝（ ）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A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．地图绘制技术世界领先 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B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．统治者具备近代国家观念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C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．基本奠定现代中国版图 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D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．政府注重国家疆域的管辖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7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>．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 xml:space="preserve">1920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年，北洋政府发布大总统令，宣布筹办所得税，然而各地商会质疑其违背约法并 群起反对，最终演化成一场声势浩大的反对所得税的运动。据此可知（ ）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A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．中国民族资产阶级具有两面性 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B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．中央权威受到严峻挑战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C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．商人阶层的民权意识有所增强 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D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．实业救国思潮影响深远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8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>．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 xml:space="preserve">1949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年 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 xml:space="preserve">3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月，毛泽东提出党委会的“十二条工作方法”。主要内容包括：党委书记要 善于当“班长”、“五湖四海”、“力戒骄傲”等。提出该方法的主要目的是（ ）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A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．制定党的民主革命纲领 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B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．调整完善新民主主义理论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C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．为工作重心转移做准备 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D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．巩固和发展革命统一战线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9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>．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 xml:space="preserve">1950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年，毛泽东强调：“在国外，我们必须坚固地团结苏联、各人民民主国家及全世 界一切和平民主力量，对此不可有丝毫的游移和动摇。”这一外交思想（ ）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A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．深受当时国际政治局势影响 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B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．表明意识形态决定外交方向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C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．体现了求同存异的发展理念 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D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．形成了“全方位外交”格局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10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．《感动中国》节目自 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 xml:space="preserve">2002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年播出以来，每年评选出十位年度新闻性人物，传播正能 量，弘扬社会正气。该节目在观众中口碑极佳，被媒体誉为“中国人的年度精神史诗”。 这体现了（ ）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A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．社会主义核心价值观得以践行 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B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．社会主义精神文明建设创新性发展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C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．艰苦创业勤俭节约的时代精神 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D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．我国公民的道德素质得到全面提升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11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>．亚里士多德在“临终遗嘱”中明确要求子嗣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: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“那些曾服侍过我的奴隶，没有一个可 以卖掉，让他们留下来，当他们达到要求的年龄，根据他们的服务释放他们。”该遗嘱 内容在一定程度上反映了雅典（ ）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A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．人文素养影响奴隶主决策 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B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．繁荣的基础是奴隶制经济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C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．理性主义是社会主流思想 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D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．社会身份认同的界限模糊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12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．公元 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 xml:space="preserve">302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年，罗马皇帝戴克里先颁发敕令：“随意超过这种价格的自由已经没有了， 任何人反抗这个法律的规定将会受到最大的惩罚；其价格表中的规定不仅是为了一个城 市，一种人民，一个省，而是为了整个世界……”该敕令的颁布（ ）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A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．有利于维护帝国的统治秩序 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B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．旨在增加政府的财政收入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C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．缓和了平民与贵族间的矛盾 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D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．兼顾了社会各阶层的利益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13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．到 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 xml:space="preserve">18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世纪下半期，法国的儿童教育发生了重大转变，孩子不再裹在襁褓中，不再使 用让孩子走路的牵引带。巴黎三分之二的房屋开始有了单独的卧室，而七分之一的房屋 有专用的餐厅。该变化缘于（ ）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A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．科学技术的迅猛发展 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B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．启蒙思想影响的深入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C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．民主共和制度的确立 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D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．社会保障体系的形成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14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．有学者认为 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 xml:space="preserve">1905—1911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年伊朗立宪革命期间，在社会上有着极大影响力的乌莱玛（宗 教学者）阶层认识到，王权的失落也意味着教权的不保，最终乌莱玛阶层从革命的支持 者走向了革命的对立面。该学者意在强调伊朗（ ）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A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．民族民主意识正在觉醒 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B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．君主立宪推动社会发展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C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．革命缺乏科学理论指导 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D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．革命发展存在失败危险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15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．苏联“一五计划”期间，西伯利亚地区的工厂生产的初加工云母占全苏联总产量的 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85%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，大型电站总数从 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 xml:space="preserve">30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座增至 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 xml:space="preserve">124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座。这些成果体现了当时苏联（ ）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A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．新经济政策成效显著 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B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．经济危机破坏较小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C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．适应卫国战争的爆发 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D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．重视重工业的发展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16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．在二战临近尾声之时，英美两国联合开展了一项代号为“逆火”的秘密行动，联合 拘捕了德国五百多名从事 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 xml:space="preserve">V-2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火箭研发的专家和技师。该行动（ ）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A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．是联合国惩治法西斯的表现 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B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．奠定美国成为科技中心的基础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C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．服务于战后美国的战略利益 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D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．旨在消除德国潜在的军事威胁 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</w:rPr>
        <w:t>第</w:t>
      </w:r>
      <w:r>
        <w:rPr>
          <w:rFonts w:hint="default" w:ascii="Times New Roman" w:hAnsi="Times New Roman" w:eastAsia="TimesNewRomanPS-BoldMT" w:cs="Times New Roman"/>
          <w:b w:val="0"/>
          <w:bCs w:val="0"/>
          <w:color w:val="000000"/>
          <w:sz w:val="28"/>
          <w:szCs w:val="28"/>
        </w:rPr>
        <w:t>Ⅱ</w:t>
      </w:r>
      <w:r>
        <w:rPr>
          <w:rFonts w:hint="default" w:ascii="Times New Roman" w:hAnsi="Times New Roman" w:eastAsia="宋体" w:cs="Times New Roman"/>
          <w:b/>
          <w:bCs/>
          <w:color w:val="000000"/>
          <w:sz w:val="28"/>
          <w:szCs w:val="28"/>
        </w:rPr>
        <w:t>卷（非选择题）</w:t>
      </w:r>
    </w:p>
    <w:p>
      <w:pPr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</w:rPr>
        <w:t>二、材料分析题（</w:t>
      </w:r>
      <w:r>
        <w:rPr>
          <w:rFonts w:hint="default" w:ascii="Times New Roman" w:hAnsi="Times New Roman" w:eastAsia="TimesNewRomanPS-BoldMT" w:cs="Times New Roman"/>
          <w:b w:val="0"/>
          <w:bCs w:val="0"/>
          <w:color w:val="000000"/>
          <w:sz w:val="21"/>
          <w:szCs w:val="21"/>
        </w:rPr>
        <w:t xml:space="preserve">52 </w:t>
      </w:r>
      <w:r>
        <w:rPr>
          <w:rFonts w:hint="default" w:ascii="Times New Roman" w:hAnsi="Times New Roman" w:eastAsia="宋体" w:cs="Times New Roman"/>
          <w:b/>
          <w:bCs/>
          <w:color w:val="000000"/>
          <w:sz w:val="21"/>
          <w:szCs w:val="21"/>
        </w:rPr>
        <w:t xml:space="preserve">分）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17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>．阅读材料，完成下列要求。（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12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分）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材料一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>史料一</w:t>
      </w:r>
    </w:p>
    <w:p>
      <w:pPr>
        <w:jc w:val="center"/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pict>
          <v:shape id="_x0000_i1025" o:spt="75" type="#_x0000_t75" style="height:112pt;width:115.5pt;" filled="f" o:preferrelative="t" stroked="f" coordsize="21600,21600">
            <v:path/>
            <v:fill on="f" focussize="0,0"/>
            <v:stroke on="f" joinstyle="miter"/>
            <v:imagedata r:id="rId5" o:title=""/>
            <o:lock v:ext="edit" aspectratio="t"/>
            <w10:wrap type="none"/>
            <w10:anchorlock/>
          </v:shape>
        </w:pic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>为湖南长沙出土的西汉晚期“中国大宁”神兽博局纹镜。</w:t>
      </w:r>
      <w:r>
        <w:rPr>
          <w:rFonts w:hint="default" w:ascii="Times New Roman" w:hAnsi="Times New Roman" w:eastAsia="宋体" w:cs="Times New Roman"/>
          <w:b w:val="0"/>
          <w:bCs w:val="0"/>
          <w:color w:val="222222"/>
          <w:sz w:val="21"/>
          <w:szCs w:val="21"/>
        </w:rPr>
        <w:t>镜背间铸有铭文：“ 圣人之作镜兮，取气于五行。生于道康兮，咸有文章。光象日月，其质清刚。以视玉容 兮，辟去不羊。中国大宁，子孙益昌。黄常元吉，有纪刚。”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>） 史料二 东汉《前汉书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·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>百官公卿表》记载：“少府之下有尚方令一人，御用及官制 铜镜均由尚方制作。” 史料三 唐朝《元和郡县图志》记载，桂州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(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>今桂林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 xml:space="preserve">)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向中央进贡“铜镜四十四面”。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——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以上材料摘编自宋莹莹《由广西出土铜镜铭文看中华民族共同体意识》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材料二 在今蒙古和独联体境内，发现了不少属于战国和汉代的镜子。隋唐时期的镜子出土 数量数量最多的是海兽葡萄镜。 在伊朗发现了多面仿制的海兽葡萄镜。 在约旦发现了花草禽兽镜和仿制的海兽葡萄镜。 在日本还出土了不少唐镜和宋代的商标字号镜。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——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以上材料改编自王婉云《中国古铜镜在中国历史及对外交流上的价值》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(1)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>根据材料一的三则史料探究中国古代铜镜的历史，指出其史料价值，并做出合理推断。 （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8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分）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(2)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>根据材料二并结合所学知识，简析古代中国铜镜外传的积极意义。（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4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分）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18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>．阅读材料，完成下列要求。（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 xml:space="preserve">14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分）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材料：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 xml:space="preserve">1949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>年，中国中央人民政府颁布了《公房公产统一管理的决定》，该决定赋予了城 镇房屋公有的性质，并规定对其进行统一管理，所以房屋并无进入市场买卖、流通的可 能，导致当时在新房屋的开发建设方面，只有国家统一投资这一渠道。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……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>国家对城镇 职工收取少量的租金不足以支付房屋的维护和管理费用，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……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这样的政策使得城镇居民 对房屋近似于无偿使用。 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 xml:space="preserve">1979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>年我国以西安、南宁、柳州和梧州四个城市为试点，国家统一建设房屋，允许 出售新建住房。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 xml:space="preserve">1980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年 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 xml:space="preserve">4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>月，邓小平同志提出“城镇居民个人可以购买房屋”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 xml:space="preserve">……1982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>年政府为了鼓励公民购买公房，推出了新的措施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——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>国家、单位和职工按“三三制”原 则承担购房费用。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……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政府随即将改革的目标转向了提高住房租金。 </w:t>
      </w:r>
    </w:p>
    <w:p>
      <w:pPr>
        <w:rPr>
          <w:rFonts w:hint="default" w:ascii="Times New Roman" w:hAnsi="Times New Roman" w:eastAsia="Helvetica-Oblique" w:cs="Times New Roman"/>
          <w:b w:val="0"/>
          <w:bCs w:val="0"/>
          <w:color w:val="FFFFFF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——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摘编自艾其茂《新中国六十年城镇居民住房保障制度变迁的历史考察》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(1)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>根据材料，概括指出新中国成立初期住房保障制度的特点。（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 xml:space="preserve">4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分）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(2)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>根据材料并结合所学知识，指出与建国初期相比，改革开放初期住房保障制度的新变 化并分析其原因。（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 xml:space="preserve">10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分）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19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>．阅读材料，完成下列要求。（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 xml:space="preserve">14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分）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材料：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>面对帝国主义的无情侵略和劳动人民的痛苦挣扎，列宁深入分析和思考了帝国主义 背景下战争爆发的根源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……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>经过三年战争，沙皇统治逐渐崩溃解体，广大劳动人民处于 水深火热之中，如何带领俄国广大人民群众走向和平，已成为列宁首要思考的问题。 列宁深刻地认识到苏俄只有退出战争才能取得喘息的机会，才能专注自身发展。他 指出，资本主义的和平是暂时的、虚假的，只有通过革命推翻资本主义制度，建立社会 主义社会，才能实现持久和平。列宁指出，由于资本主义的贪婪本性，国家之间的矛盾 冲突只会愈演愈烈。因此，作为夹缝中求生存的苏维埃俄国要善于利用这些斗争，获得 自身生存发展机会。列宁顺势而为推行租让制，利用资本主义国家的资金、技术等大力 发展生产力。经过三年的恢复和发展，苏俄与其他国家之间已形成共存局面。列宁科学 地判断出苏俄与帝国主义国家形成了某种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“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>均势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”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，帝国主义国家虽然仇视苏俄，却不能 消灭它。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——艾丛潞《列宁和平思想及其重要价值研究》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(1)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>根据材料并结合所学知识，分析列宁和平思想产生的时代背景。（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 xml:space="preserve">4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分）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(2)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>根据材料并结合所学知识，归纳列宁关于和平问题的基本认识，并指出这些认识的历 史作用。（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 xml:space="preserve">10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分）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20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>．阅读材料，完成下列要求。（</w:t>
      </w: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 xml:space="preserve">12 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分） </w:t>
      </w:r>
    </w:p>
    <w:p>
      <w:pPr>
        <w:rPr>
          <w:rFonts w:hint="default" w:ascii="Times New Roman" w:hAnsi="Times New Roman" w:eastAsia="Helvetica-Oblique" w:cs="Times New Roman"/>
          <w:b w:val="0"/>
          <w:bCs w:val="0"/>
          <w:color w:val="FFFFFF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材料： </w:t>
      </w:r>
      <w:r>
        <w:rPr>
          <w:rFonts w:hint="default" w:ascii="Times New Roman" w:hAnsi="Times New Roman" w:eastAsia="Helvetica-Oblique" w:cs="Times New Roman"/>
          <w:b w:val="0"/>
          <w:bCs w:val="0"/>
          <w:color w:val="FFFFFF"/>
          <w:sz w:val="21"/>
          <w:szCs w:val="21"/>
        </w:rPr>
        <w:t>{#{QQABSYKUggigAABAARgCQQFaCkAQkBCCACoGxBAEoAABgQNABAA=}#}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东北远古文明是中华文明的源头之一。东北古族群进入中原，“不同程度地为中国 历史发展带来了勃勃生气，为中华民族族体之熔铸注入了新的血液，为缔造祖国的文明 谱写了独特的篇章”。近代以来，在革命、建设和改革的长期实践中，东北地区形成的 一系列优秀精神以其强大的感召力、凝聚力和战斗力，促使一代又一代中华儿女勠力同 心、埋头苦干，在一穷二白的基础上意气风发搞社会主义建设，创造了一个又一个人间 奇迹。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TimesNewRomanPSMT" w:cs="Times New Roman"/>
          <w:b w:val="0"/>
          <w:bCs w:val="0"/>
          <w:color w:val="000000"/>
          <w:sz w:val="21"/>
          <w:szCs w:val="21"/>
        </w:rPr>
        <w:t>——</w:t>
      </w: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摘编自范恩实《新时期中国学界东北边疆史研究的回顾与展望》等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根据材料并结合所学知识，就材料整体或其中任意一点拟定一个论题，并予以阐述。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（要求：论题明确，持论有据，论证充分，表达清晰。） </w:t>
      </w:r>
    </w:p>
    <w:p>
      <w:pPr>
        <w:rPr>
          <w:rFonts w:hint="default" w:ascii="Times New Roman" w:hAnsi="Times New Roman" w:eastAsia="仿宋_GB2312" w:cs="Times New Roman"/>
          <w:b w:val="0"/>
          <w:bCs w:val="0"/>
          <w:color w:val="000000"/>
          <w:sz w:val="21"/>
          <w:szCs w:val="21"/>
        </w:rPr>
      </w:pPr>
    </w:p>
    <w:p>
      <w:pPr>
        <w:rPr>
          <w:rFonts w:hint="default" w:ascii="Times New Roman" w:hAnsi="Times New Roman" w:eastAsia="仿宋_GB2312" w:cs="Times New Roman"/>
          <w:b w:val="0"/>
          <w:bCs w:val="0"/>
          <w:color w:val="000000"/>
          <w:sz w:val="21"/>
          <w:szCs w:val="21"/>
        </w:rPr>
      </w:pPr>
    </w:p>
    <w:p>
      <w:pPr>
        <w:jc w:val="center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708" w:num="1"/>
          <w:docGrid w:type="lines" w:linePitch="312" w:charSpace="0"/>
        </w:sectPr>
      </w:pPr>
    </w:p>
    <w:p>
      <w:pPr>
        <w:jc w:val="center"/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</w:pPr>
      <w:bookmarkStart w:id="0" w:name="_GoBack"/>
      <w:bookmarkEnd w:id="0"/>
      <w:r>
        <w:rPr>
          <w:rFonts w:hint="default" w:ascii="Times New Roman" w:hAnsi="Times New Roman" w:eastAsia="仿宋_GB2312" w:cs="Times New Roman"/>
          <w:b/>
          <w:bCs/>
          <w:color w:val="000000"/>
          <w:sz w:val="32"/>
          <w:szCs w:val="32"/>
        </w:rPr>
        <w:t>2023-2024 学年高三上学期期末考试 历史学科试题答案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>一、单项选择题</w:t>
      </w:r>
    </w:p>
    <w:p>
      <w:pPr>
        <w:jc w:val="center"/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pict>
          <v:shape id="_x0000_i1026" o:spt="75" type="#_x0000_t75" style="height:50.55pt;width:415.15pt;" filled="f" o:preferrelative="t" stroked="f" coordsize="21600,21600">
            <v:path/>
            <v:fill on="f" focussize="0,0"/>
            <v:stroke on="f" joinstyle="miter"/>
            <v:imagedata r:id="rId6" o:title=""/>
            <o:lock v:ext="edit" aspectratio="t"/>
            <w10:wrap type="none"/>
            <w10:anchorlock/>
          </v:shape>
        </w:pic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二、材料分析题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17. （1）史料价值：史料一是实物史料；史料二、三是文献史料；都可以视为研究 中国古代铜镜的历史一手资料（每点 1 分，任意 2 点，共 2 分）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推断： 史料一可用于研究汉代风俗习惯； 可用于研究汉代的民族交融、文化认同、家国情怀； 可用于研究汉代儒学的发展以及儒家思想在民众中的传播情况。 （每点 2 分，任意 1 点）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史料二可用于研究汉代官营手工业的发展情况。（2 分）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史料三可用于研究边疆地区的社会经济发展及边疆治理、统一多民族国家发展的 情况。（2 分） （若整体进行推断，每点 2 分，共计 6 分。史料揭示了铜镜在古代社会中的重要 地位和影响力；以及古代社会对于铜镜的管理和制作技术的发展；这些史料有助 于我们了解铜镜的历史和其在人类社会中的作用。）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（2）是中外友好交往的体现；有利于中外贸易往来；扩大中国的国际影响力； 对人类文明发展做出重要贡献。（1 点 2 分，2 点 3 分，3 点 4 分，共 4 分）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18. （1）特点：房屋不进入市场；房屋具有公有性；城镇住房实行福利性分配制度 （或无偿使用）。（1 点 2 分，2 点 3 分，3 点 4 分，共 4 分）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（2）新变化：允许房屋私有；允许公房出售或个人购房，住房商品化；个人出 资比重增加。（1 点 2 分，2 点 3 分，3 点 4 分，共 4 分） </w:t>
      </w:r>
    </w:p>
    <w:p>
      <w:pPr>
        <w:rPr>
          <w:rFonts w:hint="default" w:ascii="Times New Roman" w:hAnsi="Times New Roman" w:eastAsia="Helvetica-Oblique" w:cs="Times New Roman"/>
          <w:b w:val="0"/>
          <w:bCs w:val="0"/>
          <w:color w:val="FFFFFF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原因：经济体制改革；城市化的发展的推动；解决人口增加的问题；缓解国家的 财政压力。（每点 2 分，任意 3 点，共 6 分）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19. ⑴时代背景：资本主义发展进入到帝国主义阶段；战后人民需要和平的环境；十 月革命的胜利；无产阶级是人类最进步的阶级。（每点 2 分，任意 2 点，共 4 分）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⑵基本认识：人类的生存和发展以和平为前提条件；正确认识和对待两种不同性 质的和平；无产阶级革命是实现和平的重要途径；要利用国际矛盾以争取持久和 平；社会主义国家与资本主义国家在一定时期内可以合作共存；通过发展经济争 取和巩固和平。（每点 2 分，任意 3 点，共 6 分）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历史作用： 有利于苏维埃俄国经济恢复；有利于苏维埃政权的巩固；丰富发展了马克思主义 （任意 1 点 2 分） 为当今世界各国处理威胁世界和平与发展的重大问题提供借鉴，有利于世界和平 与发展；为构建国际政治经济新秩序提供了重要启示；有助于构建人类命运共同 体。（任意 1 点 2 分）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20.示例：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论题：东北地区为中华文明发展作出重要贡献。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论证：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距今约 5000 年的新石器时代晚期，北方辽河上游的红山文化出土了精美的玉器， 并且出现较大规模的祭坛和神庙。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4 世纪末，发源于东北的鲜卑拓跋部建立的北魏强大起来，于 439 年统一北方。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5 世纪后期，北魏孝文帝拓跋宏进行改革。这些改革措施顺应了北方民族交往交 流交融的历史趋势，促进了北魏的经济发展和社会繁荣，为以后北方统一南方以 及隋唐盛世的出现打下了基础。 发源于东北的满族建立清朝，统一全国，加强专制集权，现代中国版图基本定型， 推动了统一多民族国家的发展。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九一八事变后，东北人民的抗战揭开了中国抗日战争的序幕。在共产党员杨靖宇、 赵尚志等领导下，东北抗日联军浴血奋战，牵制了大量日军。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一五计划时期，东北地区制造了新中国第一批解放牌载重汽车、第一架喷气式飞机、第一艘万吨巨轮、第一辆内燃机车，东北地区成为新中国工业的摇篮，为我 国改变工业落后的面貌、实现社会主义现代化奠定重要基础。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在社会主义建设中，东北人民自力更生、艰苦奋斗，涌现出无数先进典型和英雄 模范人物，形成了具有特定内涵的铁人精神、北大荒精神。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总结：总之，东北地区为中华文明发展作出重要贡献。在强国建设、民族复兴新 征程中，东北一定能够重振雄风、再创佳绩！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其它示例： 东北远古文明是中华文明的源头之一。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东北古族群为中华民族发展注入了新的血液。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在革命、建设和改革的过程中，东北地区作出重要贡献。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评分标准：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论点：论题明确，言简意赅给 2 分；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史实：最少 3 条论据，每条论据有史实及其拓展（内容或影响），写准写全给 2 分，3 条论据共 6 分；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逻辑：论证充分，表达清晰给 2 分。 </w:t>
      </w:r>
    </w:p>
    <w:p>
      <w:pP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</w:pPr>
      <w:r>
        <w:rPr>
          <w:rFonts w:hint="default" w:ascii="Times New Roman" w:hAnsi="Times New Roman" w:eastAsia="宋体" w:cs="Times New Roman"/>
          <w:b w:val="0"/>
          <w:bCs w:val="0"/>
          <w:color w:val="000000"/>
          <w:sz w:val="21"/>
          <w:szCs w:val="21"/>
        </w:rPr>
        <w:t xml:space="preserve">总结 1 分，升华 1 分。 </w:t>
      </w:r>
    </w:p>
    <w:sectPr>
      <w:pgSz w:w="11906" w:h="16838"/>
      <w:pgMar w:top="1440" w:right="1800" w:bottom="1440" w:left="1800" w:header="851" w:footer="992" w:gutter="0"/>
      <w:cols w:space="708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imesNewRomanPSMT">
    <w:altName w:val="Times New Roma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NewRomanPS-BoldM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-Obliq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40"/>
  <w:documentProtection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jg0N2FhYzA3MjAxYmM3MmQwY2NjYWNmNTUwYzg2MzIifQ=="/>
  </w:docVars>
  <w:rsids>
    <w:rsidRoot w:val="212E0A97"/>
    <w:rsid w:val="004151FC"/>
    <w:rsid w:val="00C02FC6"/>
    <w:rsid w:val="02C235A2"/>
    <w:rsid w:val="212E0A97"/>
    <w:rsid w:val="4C1D15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kern w:val="0"/>
      <w:sz w:val="18"/>
      <w:szCs w:val="18"/>
    </w:rPr>
  </w:style>
  <w:style w:type="character" w:customStyle="1" w:styleId="6">
    <w:name w:val="页眉 Char"/>
    <w:link w:val="3"/>
    <w:semiHidden/>
    <w:uiPriority w:val="99"/>
    <w:rPr>
      <w:sz w:val="18"/>
      <w:szCs w:val="18"/>
      <w:lang w:eastAsia="zh-CN"/>
    </w:rPr>
  </w:style>
  <w:style w:type="character" w:customStyle="1" w:styleId="7">
    <w:name w:val="页脚 Char"/>
    <w:link w:val="2"/>
    <w:semiHidden/>
    <w:uiPriority w:val="99"/>
    <w:rPr>
      <w:sz w:val="18"/>
      <w:szCs w:val="18"/>
      <w:lang w:eastAsia="zh-CN"/>
    </w:rPr>
  </w:style>
</w:style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2024-01-07T01:14:52Z</dcterms:created>
  <dc:creator/>
  <cp:category/>
  <dc:description/>
  <cp:contentStatus/>
  <dc:identifier/>
  <cp:lastModifiedB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/>
</Properties>
</file>