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288" w:lineRule="auto"/>
        <w:jc w:val="left"/>
        <w:rPr>
          <w:b/>
          <w:bCs/>
          <w:sz w:val="24"/>
          <w:szCs w:val="32"/>
        </w:rPr>
      </w:pPr>
      <w:r>
        <w:rPr>
          <w:rFonts w:hint="eastAsia"/>
          <w:b/>
          <w:bCs/>
          <w:sz w:val="24"/>
          <w:szCs w:val="32"/>
        </w:rPr>
        <w:drawing>
          <wp:anchor distT="0" distB="0" distL="114300" distR="114300" simplePos="0" relativeHeight="251659264" behindDoc="0" locked="0" layoutInCell="1" allowOverlap="1">
            <wp:simplePos x="0" y="0"/>
            <wp:positionH relativeFrom="page">
              <wp:posOffset>11417300</wp:posOffset>
            </wp:positionH>
            <wp:positionV relativeFrom="topMargin">
              <wp:posOffset>10871200</wp:posOffset>
            </wp:positionV>
            <wp:extent cx="266700" cy="292100"/>
            <wp:effectExtent l="0" t="0" r="0" b="0"/>
            <wp:wrapNone/>
            <wp:docPr id="100024" name="图片 1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pic:cNvPicPr>
                      <a:picLocks noChangeAspect="1"/>
                    </pic:cNvPicPr>
                  </pic:nvPicPr>
                  <pic:blipFill>
                    <a:blip r:embed="rId4"/>
                    <a:stretch>
                      <a:fillRect/>
                    </a:stretch>
                  </pic:blipFill>
                  <pic:spPr>
                    <a:xfrm>
                      <a:off x="0" y="0"/>
                      <a:ext cx="266700" cy="292100"/>
                    </a:xfrm>
                    <a:prstGeom prst="rect">
                      <a:avLst/>
                    </a:prstGeom>
                  </pic:spPr>
                </pic:pic>
              </a:graphicData>
            </a:graphic>
          </wp:anchor>
        </w:drawing>
      </w:r>
      <w:r>
        <w:rPr>
          <w:rFonts w:hint="eastAsia"/>
          <w:b/>
          <w:bCs/>
          <w:sz w:val="24"/>
          <w:szCs w:val="32"/>
        </w:rPr>
        <w:t>绝密★启用前</w:t>
      </w:r>
    </w:p>
    <w:p>
      <w:pPr>
        <w:spacing w:line="288" w:lineRule="auto"/>
        <w:jc w:val="center"/>
        <w:rPr>
          <w:b/>
          <w:bCs/>
          <w:sz w:val="32"/>
          <w:szCs w:val="40"/>
        </w:rPr>
      </w:pPr>
      <w:r>
        <w:rPr>
          <w:rFonts w:hint="eastAsia"/>
          <w:b/>
          <w:bCs/>
          <w:sz w:val="32"/>
          <w:szCs w:val="40"/>
        </w:rPr>
        <w:t>24届高三年级TOP二十名校调研考试八</w:t>
      </w:r>
    </w:p>
    <w:p>
      <w:pPr>
        <w:spacing w:line="288" w:lineRule="auto"/>
        <w:jc w:val="center"/>
        <w:rPr>
          <w:b/>
          <w:bCs/>
          <w:sz w:val="32"/>
          <w:szCs w:val="40"/>
        </w:rPr>
      </w:pPr>
      <w:r>
        <w:rPr>
          <w:rFonts w:hint="eastAsia"/>
          <w:b/>
          <w:bCs/>
          <w:sz w:val="32"/>
          <w:szCs w:val="40"/>
        </w:rPr>
        <w:t>地   理</w:t>
      </w:r>
    </w:p>
    <w:p>
      <w:pPr>
        <w:spacing w:line="288" w:lineRule="auto"/>
        <w:jc w:val="left"/>
        <w:rPr>
          <w:b/>
          <w:bCs/>
          <w:sz w:val="24"/>
          <w:szCs w:val="32"/>
        </w:rPr>
      </w:pPr>
      <w:r>
        <w:rPr>
          <w:rFonts w:hint="eastAsia"/>
          <w:b/>
          <w:bCs/>
          <w:sz w:val="24"/>
          <w:szCs w:val="32"/>
        </w:rPr>
        <w:t>全卷满分100分，考试时间90分钟</w:t>
      </w:r>
    </w:p>
    <w:p>
      <w:pPr>
        <w:spacing w:line="288" w:lineRule="auto"/>
        <w:jc w:val="left"/>
        <w:rPr>
          <w:b/>
          <w:bCs/>
          <w:sz w:val="24"/>
          <w:szCs w:val="32"/>
        </w:rPr>
      </w:pPr>
      <w:r>
        <w:rPr>
          <w:rFonts w:hint="eastAsia"/>
          <w:b/>
          <w:bCs/>
          <w:sz w:val="24"/>
          <w:szCs w:val="32"/>
        </w:rPr>
        <w:t>注意事项：</w:t>
      </w:r>
    </w:p>
    <w:p>
      <w:pPr>
        <w:spacing w:line="288" w:lineRule="auto"/>
        <w:jc w:val="left"/>
        <w:rPr>
          <w:b/>
          <w:bCs/>
          <w:sz w:val="24"/>
          <w:szCs w:val="32"/>
        </w:rPr>
      </w:pPr>
      <w:r>
        <w:rPr>
          <w:rFonts w:hint="eastAsia"/>
          <w:b/>
          <w:bCs/>
          <w:sz w:val="24"/>
          <w:szCs w:val="32"/>
        </w:rPr>
        <w:t>1.答卷前，考生务必将自己的姓名，准考证号填写在答题卡上，并将条形码粘贴在答题卡上的指定位置，</w:t>
      </w:r>
    </w:p>
    <w:p>
      <w:pPr>
        <w:spacing w:line="288" w:lineRule="auto"/>
        <w:jc w:val="left"/>
        <w:rPr>
          <w:b/>
          <w:bCs/>
          <w:sz w:val="24"/>
          <w:szCs w:val="32"/>
        </w:rPr>
      </w:pPr>
      <w:r>
        <w:rPr>
          <w:rFonts w:hint="eastAsia"/>
          <w:b/>
          <w:bCs/>
          <w:sz w:val="24"/>
          <w:szCs w:val="32"/>
        </w:rPr>
        <w:t>2.回答选择题时，选出每小题答案后，用铅笔把答题卡上对应题目的答案标号涂黑。如需改动，用橡皮擦干净后，再选涂其他答案标号。回答非选择题时，将答案写在答题卡上。写在本试卷上无效。</w:t>
      </w:r>
    </w:p>
    <w:p>
      <w:pPr>
        <w:spacing w:line="288" w:lineRule="auto"/>
        <w:jc w:val="left"/>
        <w:rPr>
          <w:b/>
          <w:bCs/>
          <w:sz w:val="24"/>
          <w:szCs w:val="32"/>
        </w:rPr>
      </w:pPr>
      <w:r>
        <w:rPr>
          <w:rFonts w:hint="eastAsia"/>
          <w:b/>
          <w:bCs/>
          <w:sz w:val="24"/>
          <w:szCs w:val="32"/>
        </w:rPr>
        <w:t>3.考试结束后，将本试卷和答题卡一并收回。</w:t>
      </w:r>
    </w:p>
    <w:p>
      <w:pPr>
        <w:spacing w:line="288" w:lineRule="auto"/>
        <w:jc w:val="left"/>
        <w:rPr>
          <w:b/>
          <w:bCs/>
          <w:sz w:val="24"/>
          <w:szCs w:val="32"/>
        </w:rPr>
      </w:pPr>
      <w:r>
        <w:rPr>
          <w:rFonts w:hint="eastAsia"/>
          <w:b/>
          <w:bCs/>
          <w:sz w:val="24"/>
          <w:szCs w:val="32"/>
        </w:rPr>
        <w:t>一、选择题：本大题共25小题，每小题2分，共50分。在每小题给出的四个选项中，只有一项是符合题目要求的。</w:t>
      </w:r>
    </w:p>
    <w:p>
      <w:pPr>
        <w:spacing w:line="288" w:lineRule="auto"/>
        <w:ind w:firstLine="420" w:firstLineChars="200"/>
        <w:jc w:val="left"/>
        <w:rPr>
          <w:rFonts w:eastAsia="楷体"/>
        </w:rPr>
      </w:pPr>
      <w:r>
        <w:rPr>
          <w:rFonts w:hint="eastAsia" w:eastAsia="楷体"/>
        </w:rPr>
        <w:t>光学天文观测台址是稀缺资源，世界上大型光学望远镜几乎都集中在西半球。我国青藏高原柴达木盆地西北边缘，冷湖赛什腾山天文观测台正在紧锣密鼓的建设。国内专家认为，冷湖赛什腾山天文观测台填补了国际级天文台址的“空白区”。图1示意冷湖地理位置。据此完成94°E1～3题。</w:t>
      </w:r>
    </w:p>
    <w:p>
      <w:pPr>
        <w:spacing w:line="288" w:lineRule="auto"/>
        <w:jc w:val="left"/>
      </w:pPr>
      <w:r>
        <w:drawing>
          <wp:inline distT="0" distB="0" distL="114300" distR="114300">
            <wp:extent cx="3209925" cy="1724025"/>
            <wp:effectExtent l="0" t="0" r="952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lum contrast="12000"/>
                    </a:blip>
                    <a:stretch>
                      <a:fillRect/>
                    </a:stretch>
                  </pic:blipFill>
                  <pic:spPr>
                    <a:xfrm>
                      <a:off x="0" y="0"/>
                      <a:ext cx="3209925" cy="1724025"/>
                    </a:xfrm>
                    <a:prstGeom prst="rect">
                      <a:avLst/>
                    </a:prstGeom>
                    <a:noFill/>
                    <a:ln>
                      <a:noFill/>
                    </a:ln>
                  </pic:spPr>
                </pic:pic>
              </a:graphicData>
            </a:graphic>
          </wp:inline>
        </w:drawing>
      </w:r>
    </w:p>
    <w:p>
      <w:pPr>
        <w:spacing w:line="288" w:lineRule="auto"/>
        <w:ind w:firstLine="2100" w:firstLineChars="1000"/>
        <w:jc w:val="left"/>
      </w:pPr>
      <w:r>
        <w:rPr>
          <w:rFonts w:hint="eastAsia"/>
        </w:rPr>
        <w:t>图1</w:t>
      </w:r>
    </w:p>
    <w:p>
      <w:pPr>
        <w:spacing w:line="288" w:lineRule="auto"/>
        <w:jc w:val="left"/>
      </w:pPr>
      <w:r>
        <w:rPr>
          <w:rFonts w:hint="eastAsia"/>
        </w:rPr>
        <w:t>1.冷湖赛什腾山天文观测台填补了国际级天文台址的“空白区”是指（    ）</w:t>
      </w:r>
    </w:p>
    <w:p>
      <w:pPr>
        <w:spacing w:line="288" w:lineRule="auto"/>
        <w:jc w:val="left"/>
      </w:pPr>
      <w:r>
        <w:rPr>
          <w:rFonts w:hint="eastAsia"/>
        </w:rPr>
        <w:t>A.可以观测到南半球天空</w:t>
      </w:r>
      <w:r>
        <w:rPr>
          <w:rFonts w:hint="eastAsia"/>
        </w:rPr>
        <w:tab/>
      </w:r>
      <w:r>
        <w:rPr>
          <w:rFonts w:hint="eastAsia"/>
        </w:rPr>
        <w:t>B.更好的观测东半球天空</w:t>
      </w:r>
    </w:p>
    <w:p>
      <w:pPr>
        <w:spacing w:line="288" w:lineRule="auto"/>
        <w:jc w:val="left"/>
      </w:pPr>
      <w:r>
        <w:rPr>
          <w:rFonts w:hint="eastAsia"/>
        </w:rPr>
        <w:t>C.位于高海拔地区</w:t>
      </w:r>
      <w:r>
        <w:rPr>
          <w:rFonts w:hint="eastAsia"/>
        </w:rPr>
        <w:tab/>
      </w:r>
      <w:r>
        <w:rPr>
          <w:rFonts w:hint="eastAsia"/>
        </w:rPr>
        <w:tab/>
      </w:r>
      <w:r>
        <w:rPr>
          <w:rFonts w:hint="eastAsia"/>
        </w:rPr>
        <w:t>D.白天观测时间长</w:t>
      </w:r>
    </w:p>
    <w:p>
      <w:pPr>
        <w:spacing w:line="288" w:lineRule="auto"/>
        <w:jc w:val="left"/>
      </w:pPr>
      <w:r>
        <w:rPr>
          <w:rFonts w:hint="eastAsia"/>
        </w:rPr>
        <w:t>2.与西班牙加纳利群岛相比，冷湖赛什腾山天文观测台的突出优势是</w:t>
      </w:r>
    </w:p>
    <w:p>
      <w:pPr>
        <w:spacing w:line="288" w:lineRule="auto"/>
        <w:jc w:val="left"/>
      </w:pPr>
      <w:r>
        <w:rPr>
          <w:rFonts w:hint="eastAsia"/>
        </w:rPr>
        <w:t>A.受海洋水汽的影响较小</w:t>
      </w:r>
      <w:r>
        <w:rPr>
          <w:rFonts w:hint="eastAsia"/>
        </w:rPr>
        <w:tab/>
      </w:r>
      <w:r>
        <w:rPr>
          <w:rFonts w:hint="eastAsia"/>
        </w:rPr>
        <w:t>B.对外交通条件更加便利</w:t>
      </w:r>
    </w:p>
    <w:p>
      <w:pPr>
        <w:spacing w:line="288" w:lineRule="auto"/>
        <w:jc w:val="left"/>
      </w:pPr>
      <w:r>
        <w:rPr>
          <w:rFonts w:hint="eastAsia"/>
        </w:rPr>
        <w:t>C.受人类活动的影响更小</w:t>
      </w:r>
      <w:r>
        <w:rPr>
          <w:rFonts w:hint="eastAsia"/>
        </w:rPr>
        <w:tab/>
      </w:r>
      <w:r>
        <w:rPr>
          <w:rFonts w:hint="eastAsia"/>
        </w:rPr>
        <w:t>D.冬季白天观测时间更长</w:t>
      </w:r>
    </w:p>
    <w:p>
      <w:pPr>
        <w:spacing w:line="288" w:lineRule="auto"/>
        <w:jc w:val="left"/>
      </w:pPr>
      <w:r>
        <w:rPr>
          <w:rFonts w:hint="eastAsia"/>
        </w:rPr>
        <w:t>3.冷湖赛什腾山天文观测台建成后，该地区可能出现对观测影响较大的自然灾害是（    ）</w:t>
      </w:r>
    </w:p>
    <w:p>
      <w:pPr>
        <w:spacing w:line="288" w:lineRule="auto"/>
        <w:jc w:val="left"/>
      </w:pPr>
      <w:r>
        <w:rPr>
          <w:rFonts w:hint="eastAsia"/>
        </w:rPr>
        <w:t>A.地震</w:t>
      </w:r>
      <w:r>
        <w:rPr>
          <w:rFonts w:hint="eastAsia"/>
        </w:rPr>
        <w:tab/>
      </w:r>
      <w:r>
        <w:rPr>
          <w:rFonts w:hint="eastAsia"/>
        </w:rPr>
        <w:t>B.寒潮</w:t>
      </w:r>
      <w:r>
        <w:rPr>
          <w:rFonts w:hint="eastAsia"/>
        </w:rPr>
        <w:tab/>
      </w:r>
      <w:r>
        <w:rPr>
          <w:rFonts w:hint="eastAsia"/>
        </w:rPr>
        <w:t>C.沙尘暴</w:t>
      </w:r>
      <w:r>
        <w:rPr>
          <w:rFonts w:hint="eastAsia"/>
        </w:rPr>
        <w:tab/>
      </w:r>
      <w:r>
        <w:rPr>
          <w:rFonts w:hint="eastAsia"/>
        </w:rPr>
        <w:t>D.泥石流</w:t>
      </w:r>
    </w:p>
    <w:p>
      <w:pPr>
        <w:spacing w:line="288" w:lineRule="auto"/>
        <w:ind w:firstLine="420" w:firstLineChars="200"/>
        <w:jc w:val="left"/>
        <w:rPr>
          <w:rFonts w:eastAsia="楷体"/>
        </w:rPr>
      </w:pPr>
      <w:r>
        <w:rPr>
          <w:rFonts w:hint="eastAsia" w:eastAsia="楷体"/>
        </w:rPr>
        <w:t>太阳能资源作为一种新能源，生活中应用越来越广泛，如光伏发电。图2示意广西壮族自治区年太阳辐射总量分布。据此完成4～6题。</w:t>
      </w:r>
    </w:p>
    <w:p>
      <w:pPr>
        <w:spacing w:line="288" w:lineRule="auto"/>
        <w:jc w:val="left"/>
      </w:pPr>
      <w:r>
        <w:drawing>
          <wp:inline distT="0" distB="0" distL="114300" distR="114300">
            <wp:extent cx="3857625" cy="2152650"/>
            <wp:effectExtent l="0" t="0" r="9525" b="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6">
                      <a:lum contrast="18000"/>
                    </a:blip>
                    <a:stretch>
                      <a:fillRect/>
                    </a:stretch>
                  </pic:blipFill>
                  <pic:spPr>
                    <a:xfrm>
                      <a:off x="0" y="0"/>
                      <a:ext cx="3857625" cy="2152650"/>
                    </a:xfrm>
                    <a:prstGeom prst="rect">
                      <a:avLst/>
                    </a:prstGeom>
                    <a:noFill/>
                    <a:ln>
                      <a:noFill/>
                    </a:ln>
                  </pic:spPr>
                </pic:pic>
              </a:graphicData>
            </a:graphic>
          </wp:inline>
        </w:drawing>
      </w:r>
    </w:p>
    <w:p>
      <w:pPr>
        <w:spacing w:line="288" w:lineRule="auto"/>
        <w:ind w:firstLine="2310" w:firstLineChars="1100"/>
        <w:jc w:val="left"/>
      </w:pPr>
      <w:r>
        <w:rPr>
          <w:rFonts w:hint="eastAsia"/>
        </w:rPr>
        <w:t>图2</w:t>
      </w:r>
    </w:p>
    <w:p>
      <w:pPr>
        <w:spacing w:line="288" w:lineRule="auto"/>
        <w:jc w:val="left"/>
      </w:pPr>
      <w:r>
        <w:rPr>
          <w:rFonts w:hint="eastAsia"/>
        </w:rPr>
        <w:t>4.下列各组城市中，年太阳辐射总量差异最大的是（    ）</w:t>
      </w:r>
    </w:p>
    <w:p>
      <w:pPr>
        <w:spacing w:line="288" w:lineRule="auto"/>
        <w:jc w:val="left"/>
      </w:pPr>
      <w:r>
        <w:rPr>
          <w:rFonts w:hint="eastAsia"/>
        </w:rPr>
        <w:t>A.北海与融安</w:t>
      </w:r>
      <w:r>
        <w:rPr>
          <w:rFonts w:hint="eastAsia"/>
        </w:rPr>
        <w:tab/>
      </w:r>
      <w:r>
        <w:rPr>
          <w:rFonts w:hint="eastAsia"/>
        </w:rPr>
        <w:t>B.百色与凌云</w:t>
      </w:r>
      <w:r>
        <w:rPr>
          <w:rFonts w:hint="eastAsia"/>
        </w:rPr>
        <w:tab/>
      </w:r>
      <w:r>
        <w:rPr>
          <w:rFonts w:hint="eastAsia"/>
        </w:rPr>
        <w:t>C.南宁与梧州</w:t>
      </w:r>
      <w:r>
        <w:rPr>
          <w:rFonts w:hint="eastAsia"/>
        </w:rPr>
        <w:tab/>
      </w:r>
      <w:r>
        <w:rPr>
          <w:rFonts w:hint="eastAsia"/>
        </w:rPr>
        <w:t>D.柳州与河池</w:t>
      </w:r>
    </w:p>
    <w:p>
      <w:pPr>
        <w:spacing w:line="288" w:lineRule="auto"/>
        <w:jc w:val="left"/>
      </w:pPr>
      <w:r>
        <w:rPr>
          <w:rFonts w:hint="eastAsia"/>
        </w:rPr>
        <w:t>5.导致广西年太阳辐射总量分布差异的主要影响因素是（    ）</w:t>
      </w:r>
    </w:p>
    <w:p>
      <w:pPr>
        <w:spacing w:line="288" w:lineRule="auto"/>
        <w:jc w:val="left"/>
      </w:pPr>
      <w:r>
        <w:rPr>
          <w:rFonts w:hint="eastAsia"/>
        </w:rPr>
        <w:t>A.天气状况</w:t>
      </w:r>
      <w:r>
        <w:rPr>
          <w:rFonts w:hint="eastAsia"/>
        </w:rPr>
        <w:tab/>
      </w:r>
      <w:r>
        <w:rPr>
          <w:rFonts w:hint="eastAsia"/>
        </w:rPr>
        <w:t>B.纬度位置</w:t>
      </w:r>
      <w:r>
        <w:rPr>
          <w:rFonts w:hint="eastAsia"/>
        </w:rPr>
        <w:tab/>
      </w:r>
      <w:r>
        <w:rPr>
          <w:rFonts w:hint="eastAsia"/>
        </w:rPr>
        <w:t>C.海陆位置</w:t>
      </w:r>
      <w:r>
        <w:rPr>
          <w:rFonts w:hint="eastAsia"/>
        </w:rPr>
        <w:tab/>
      </w:r>
      <w:r>
        <w:rPr>
          <w:rFonts w:hint="eastAsia"/>
        </w:rPr>
        <w:t>D.植被覆盖率</w:t>
      </w:r>
    </w:p>
    <w:p>
      <w:pPr>
        <w:spacing w:line="288" w:lineRule="auto"/>
        <w:jc w:val="left"/>
      </w:pPr>
      <w:r>
        <w:rPr>
          <w:rFonts w:hint="eastAsia"/>
        </w:rPr>
        <w:t>6.保证光伏板与太阳光线垂直，则夏至日正午下列城市中光伏板与地面夹角最大的是（    ）</w:t>
      </w:r>
    </w:p>
    <w:p>
      <w:pPr>
        <w:spacing w:line="288" w:lineRule="auto"/>
        <w:jc w:val="left"/>
      </w:pPr>
      <w:r>
        <w:rPr>
          <w:rFonts w:hint="eastAsia"/>
        </w:rPr>
        <w:t>A.北海</w:t>
      </w:r>
      <w:r>
        <w:rPr>
          <w:rFonts w:hint="eastAsia"/>
        </w:rPr>
        <w:tab/>
      </w:r>
      <w:r>
        <w:rPr>
          <w:rFonts w:hint="eastAsia"/>
        </w:rPr>
        <w:t>B.南宁</w:t>
      </w:r>
      <w:r>
        <w:rPr>
          <w:rFonts w:hint="eastAsia"/>
        </w:rPr>
        <w:tab/>
      </w:r>
      <w:r>
        <w:rPr>
          <w:rFonts w:hint="eastAsia"/>
        </w:rPr>
        <w:t>C.柳州</w:t>
      </w:r>
      <w:r>
        <w:rPr>
          <w:rFonts w:hint="eastAsia"/>
        </w:rPr>
        <w:tab/>
      </w:r>
      <w:r>
        <w:rPr>
          <w:rFonts w:hint="eastAsia"/>
        </w:rPr>
        <w:t>D.融安</w:t>
      </w:r>
    </w:p>
    <w:p>
      <w:pPr>
        <w:spacing w:line="288" w:lineRule="auto"/>
        <w:ind w:firstLine="420" w:firstLineChars="200"/>
        <w:jc w:val="left"/>
        <w:rPr>
          <w:rFonts w:eastAsia="楷体"/>
        </w:rPr>
      </w:pPr>
      <w:r>
        <w:rPr>
          <w:rFonts w:hint="eastAsia" w:eastAsia="楷体"/>
        </w:rPr>
        <w:t>图3示意各自然地理因素下云南省传统村落空间分布统计。据此完成7～8题。</w:t>
      </w:r>
    </w:p>
    <w:p>
      <w:pPr>
        <w:spacing w:line="288" w:lineRule="auto"/>
        <w:jc w:val="left"/>
      </w:pPr>
      <w:r>
        <w:drawing>
          <wp:inline distT="0" distB="0" distL="114300" distR="114300">
            <wp:extent cx="5493385" cy="2413635"/>
            <wp:effectExtent l="0" t="0" r="12065" b="571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7">
                      <a:lum contrast="12000"/>
                    </a:blip>
                    <a:stretch>
                      <a:fillRect/>
                    </a:stretch>
                  </pic:blipFill>
                  <pic:spPr>
                    <a:xfrm>
                      <a:off x="0" y="0"/>
                      <a:ext cx="5493385" cy="2413635"/>
                    </a:xfrm>
                    <a:prstGeom prst="rect">
                      <a:avLst/>
                    </a:prstGeom>
                    <a:noFill/>
                    <a:ln>
                      <a:noFill/>
                    </a:ln>
                  </pic:spPr>
                </pic:pic>
              </a:graphicData>
            </a:graphic>
          </wp:inline>
        </w:drawing>
      </w:r>
    </w:p>
    <w:p>
      <w:pPr>
        <w:spacing w:line="288" w:lineRule="auto"/>
        <w:ind w:firstLine="3780" w:firstLineChars="1800"/>
        <w:jc w:val="left"/>
      </w:pPr>
      <w:r>
        <w:rPr>
          <w:rFonts w:hint="eastAsia"/>
        </w:rPr>
        <w:t>图3</w:t>
      </w:r>
    </w:p>
    <w:p>
      <w:pPr>
        <w:spacing w:line="288" w:lineRule="auto"/>
        <w:jc w:val="left"/>
      </w:pPr>
      <w:r>
        <w:rPr>
          <w:rFonts w:hint="eastAsia"/>
        </w:rPr>
        <w:t>7.云南省传统村落（    ）</w:t>
      </w:r>
    </w:p>
    <w:p>
      <w:pPr>
        <w:spacing w:line="288" w:lineRule="auto"/>
        <w:jc w:val="left"/>
      </w:pPr>
      <w:r>
        <w:rPr>
          <w:rFonts w:hint="eastAsia"/>
        </w:rPr>
        <w:t>A.在陡坡降水少的地区数量少</w:t>
      </w:r>
      <w:r>
        <w:rPr>
          <w:rFonts w:hint="eastAsia"/>
        </w:rPr>
        <w:tab/>
      </w:r>
      <w:r>
        <w:rPr>
          <w:rFonts w:hint="eastAsia"/>
        </w:rPr>
        <w:t>B.随着坡度增加数量逐渐增多</w:t>
      </w:r>
    </w:p>
    <w:p>
      <w:pPr>
        <w:spacing w:line="288" w:lineRule="auto"/>
        <w:jc w:val="left"/>
      </w:pPr>
      <w:r>
        <w:rPr>
          <w:rFonts w:hint="eastAsia"/>
        </w:rPr>
        <w:t>C.受河网密度的影响差异最小</w:t>
      </w:r>
      <w:r>
        <w:rPr>
          <w:rFonts w:hint="eastAsia"/>
        </w:rPr>
        <w:tab/>
      </w:r>
      <w:r>
        <w:rPr>
          <w:rFonts w:hint="eastAsia"/>
        </w:rPr>
        <w:t>D.在高温高海拔的地区数量多</w:t>
      </w:r>
    </w:p>
    <w:p>
      <w:pPr>
        <w:spacing w:line="288" w:lineRule="auto"/>
        <w:jc w:val="left"/>
      </w:pPr>
      <w:r>
        <w:rPr>
          <w:rFonts w:hint="eastAsia"/>
        </w:rPr>
        <w:t>8.对云南省传统村落分布影响最大的自然因素是（    ）</w:t>
      </w:r>
    </w:p>
    <w:p>
      <w:pPr>
        <w:spacing w:line="288" w:lineRule="auto"/>
        <w:jc w:val="left"/>
      </w:pPr>
      <w:r>
        <w:rPr>
          <w:rFonts w:hint="eastAsia"/>
        </w:rPr>
        <w:t>A.年平均气温</w:t>
      </w:r>
      <w:r>
        <w:rPr>
          <w:rFonts w:hint="eastAsia"/>
        </w:rPr>
        <w:tab/>
      </w:r>
      <w:r>
        <w:rPr>
          <w:rFonts w:hint="eastAsia"/>
        </w:rPr>
        <w:tab/>
      </w:r>
      <w:r>
        <w:rPr>
          <w:rFonts w:hint="eastAsia"/>
        </w:rPr>
        <w:t>B.年平均降水</w:t>
      </w:r>
    </w:p>
    <w:p>
      <w:pPr>
        <w:spacing w:line="288" w:lineRule="auto"/>
        <w:jc w:val="left"/>
      </w:pPr>
      <w:r>
        <w:rPr>
          <w:rFonts w:hint="eastAsia"/>
        </w:rPr>
        <w:t>C.高程和坡度</w:t>
      </w:r>
      <w:r>
        <w:rPr>
          <w:rFonts w:hint="eastAsia"/>
        </w:rPr>
        <w:tab/>
      </w:r>
      <w:r>
        <w:rPr>
          <w:rFonts w:hint="eastAsia"/>
        </w:rPr>
        <w:tab/>
      </w:r>
      <w:r>
        <w:rPr>
          <w:rFonts w:hint="eastAsia"/>
        </w:rPr>
        <w:t>D.植被覆盖度</w:t>
      </w:r>
    </w:p>
    <w:p>
      <w:pPr>
        <w:spacing w:line="288" w:lineRule="auto"/>
        <w:ind w:firstLine="420" w:firstLineChars="200"/>
        <w:jc w:val="left"/>
        <w:rPr>
          <w:rFonts w:eastAsia="楷体"/>
        </w:rPr>
      </w:pPr>
      <w:r>
        <w:rPr>
          <w:rFonts w:hint="eastAsia" w:eastAsia="楷体"/>
        </w:rPr>
        <w:t>温室气体排放带来了气候变暖、海平面上升等一系列全球性问题。近年来，减少二氧化碳排放，发展绿色低碳经济成为全球共识，我国也制定了一系列节能减排措施。山西省在实现双碳目标与经济高质量发展上面临巨大挑战。图4示意山西省行政区划和图5示意山西省2020年县域碳排放强度分布。据此完成9～10题。</w:t>
      </w:r>
    </w:p>
    <w:p>
      <w:pPr>
        <w:spacing w:line="288" w:lineRule="auto"/>
        <w:jc w:val="left"/>
      </w:pPr>
      <w:r>
        <w:drawing>
          <wp:inline distT="0" distB="0" distL="114300" distR="114300">
            <wp:extent cx="3832860" cy="2501265"/>
            <wp:effectExtent l="0" t="0" r="15240" b="1333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8">
                      <a:lum contrast="12000"/>
                    </a:blip>
                    <a:stretch>
                      <a:fillRect/>
                    </a:stretch>
                  </pic:blipFill>
                  <pic:spPr>
                    <a:xfrm>
                      <a:off x="0" y="0"/>
                      <a:ext cx="3832860" cy="2501265"/>
                    </a:xfrm>
                    <a:prstGeom prst="rect">
                      <a:avLst/>
                    </a:prstGeom>
                    <a:noFill/>
                    <a:ln>
                      <a:noFill/>
                    </a:ln>
                  </pic:spPr>
                </pic:pic>
              </a:graphicData>
            </a:graphic>
          </wp:inline>
        </w:drawing>
      </w:r>
    </w:p>
    <w:p>
      <w:pPr>
        <w:spacing w:line="288" w:lineRule="auto"/>
        <w:ind w:firstLine="1050" w:firstLineChars="500"/>
        <w:jc w:val="left"/>
      </w:pPr>
      <w:r>
        <w:rPr>
          <w:rFonts w:hint="eastAsia"/>
        </w:rPr>
        <w:t>图4                         图5</w:t>
      </w:r>
    </w:p>
    <w:p>
      <w:pPr>
        <w:spacing w:line="288" w:lineRule="auto"/>
        <w:jc w:val="left"/>
      </w:pPr>
      <w:r>
        <w:rPr>
          <w:rFonts w:hint="eastAsia"/>
        </w:rPr>
        <w:t>9.2020年山西省碳排放强度较高的区域是（    ）</w:t>
      </w:r>
    </w:p>
    <w:p>
      <w:pPr>
        <w:spacing w:line="288" w:lineRule="auto"/>
        <w:jc w:val="left"/>
      </w:pPr>
      <w:r>
        <w:rPr>
          <w:rFonts w:hint="eastAsia"/>
        </w:rPr>
        <w:t>A.晋东南城镇圈</w:t>
      </w:r>
      <w:r>
        <w:rPr>
          <w:rFonts w:hint="eastAsia"/>
        </w:rPr>
        <w:tab/>
      </w:r>
      <w:r>
        <w:rPr>
          <w:rFonts w:hint="eastAsia"/>
        </w:rPr>
        <w:tab/>
      </w:r>
      <w:r>
        <w:rPr>
          <w:rFonts w:hint="eastAsia"/>
        </w:rPr>
        <w:t>B.山西中部城市群</w:t>
      </w:r>
    </w:p>
    <w:p>
      <w:pPr>
        <w:spacing w:line="288" w:lineRule="auto"/>
        <w:jc w:val="left"/>
      </w:pPr>
      <w:r>
        <w:rPr>
          <w:rFonts w:hint="eastAsia"/>
        </w:rPr>
        <w:t>C.晋南城镇圈</w:t>
      </w:r>
      <w:r>
        <w:rPr>
          <w:rFonts w:hint="eastAsia"/>
        </w:rPr>
        <w:tab/>
      </w:r>
      <w:r>
        <w:rPr>
          <w:rFonts w:hint="eastAsia"/>
        </w:rPr>
        <w:tab/>
      </w:r>
      <w:r>
        <w:rPr>
          <w:rFonts w:hint="eastAsia"/>
        </w:rPr>
        <w:t>D.晋西部城镇圈</w:t>
      </w:r>
    </w:p>
    <w:p>
      <w:pPr>
        <w:spacing w:line="288" w:lineRule="auto"/>
        <w:jc w:val="left"/>
      </w:pPr>
      <w:r>
        <w:rPr>
          <w:rFonts w:hint="eastAsia"/>
        </w:rPr>
        <w:t>10.导致山西省县域排放强度差异的影响因素有（    ）</w:t>
      </w:r>
    </w:p>
    <w:p>
      <w:pPr>
        <w:spacing w:line="288" w:lineRule="auto"/>
        <w:jc w:val="left"/>
      </w:pPr>
      <w:r>
        <w:rPr>
          <w:rFonts w:hint="eastAsia"/>
        </w:rPr>
        <w:t>①经济发展水平  ②城镇化水平  ③行政区划  ④产业结构  ⑤资源丰富程度</w:t>
      </w:r>
    </w:p>
    <w:p>
      <w:pPr>
        <w:spacing w:line="288" w:lineRule="auto"/>
        <w:jc w:val="left"/>
      </w:pPr>
      <w:r>
        <w:rPr>
          <w:rFonts w:hint="eastAsia"/>
        </w:rPr>
        <w:t>A.①②③</w:t>
      </w:r>
      <w:r>
        <w:rPr>
          <w:rFonts w:hint="eastAsia"/>
        </w:rPr>
        <w:tab/>
      </w:r>
      <w:r>
        <w:rPr>
          <w:rFonts w:hint="eastAsia"/>
        </w:rPr>
        <w:t>B.①②④</w:t>
      </w:r>
      <w:r>
        <w:rPr>
          <w:rFonts w:hint="eastAsia"/>
        </w:rPr>
        <w:tab/>
      </w:r>
      <w:r>
        <w:rPr>
          <w:rFonts w:hint="eastAsia"/>
        </w:rPr>
        <w:t>C.②③⑤</w:t>
      </w:r>
      <w:r>
        <w:rPr>
          <w:rFonts w:hint="eastAsia"/>
        </w:rPr>
        <w:tab/>
      </w:r>
      <w:r>
        <w:rPr>
          <w:rFonts w:hint="eastAsia"/>
        </w:rPr>
        <w:t>D.③④⑤</w:t>
      </w:r>
    </w:p>
    <w:p>
      <w:pPr>
        <w:spacing w:line="288" w:lineRule="auto"/>
        <w:ind w:firstLine="420" w:firstLineChars="200"/>
        <w:jc w:val="left"/>
        <w:rPr>
          <w:rFonts w:eastAsia="楷体"/>
        </w:rPr>
      </w:pPr>
      <w:r>
        <w:rPr>
          <w:rFonts w:hint="eastAsia" w:eastAsia="楷体"/>
        </w:rPr>
        <w:t>图6示意世界某湖泊地理位置。据历史记载，1929年该湖泊面积为42.2万平方千米，1970年缩小到了37.1万平方千米。据此完成11～12题。</w:t>
      </w:r>
    </w:p>
    <w:p>
      <w:pPr>
        <w:spacing w:line="288" w:lineRule="auto"/>
        <w:jc w:val="left"/>
      </w:pPr>
      <w:r>
        <w:drawing>
          <wp:inline distT="0" distB="0" distL="114300" distR="114300">
            <wp:extent cx="1980565" cy="2016760"/>
            <wp:effectExtent l="0" t="0" r="635" b="254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9">
                      <a:lum contrast="12000"/>
                    </a:blip>
                    <a:stretch>
                      <a:fillRect/>
                    </a:stretch>
                  </pic:blipFill>
                  <pic:spPr>
                    <a:xfrm>
                      <a:off x="0" y="0"/>
                      <a:ext cx="1980565" cy="2016760"/>
                    </a:xfrm>
                    <a:prstGeom prst="rect">
                      <a:avLst/>
                    </a:prstGeom>
                    <a:noFill/>
                    <a:ln>
                      <a:noFill/>
                    </a:ln>
                  </pic:spPr>
                </pic:pic>
              </a:graphicData>
            </a:graphic>
          </wp:inline>
        </w:drawing>
      </w:r>
    </w:p>
    <w:p>
      <w:pPr>
        <w:spacing w:line="288" w:lineRule="auto"/>
        <w:ind w:firstLine="840" w:firstLineChars="400"/>
        <w:jc w:val="left"/>
      </w:pPr>
      <w:r>
        <w:rPr>
          <w:rFonts w:hint="eastAsia"/>
        </w:rPr>
        <w:t>图6</w:t>
      </w:r>
    </w:p>
    <w:p>
      <w:pPr>
        <w:spacing w:line="288" w:lineRule="auto"/>
        <w:jc w:val="left"/>
      </w:pPr>
      <w:r>
        <w:rPr>
          <w:rFonts w:hint="eastAsia"/>
        </w:rPr>
        <w:t>11.据图判断，该湖泊（    ）</w:t>
      </w:r>
    </w:p>
    <w:p>
      <w:pPr>
        <w:spacing w:line="288" w:lineRule="auto"/>
        <w:jc w:val="left"/>
      </w:pPr>
      <w:r>
        <w:rPr>
          <w:rFonts w:hint="eastAsia"/>
        </w:rPr>
        <w:t>A.为淡水湖</w:t>
      </w:r>
      <w:r>
        <w:rPr>
          <w:rFonts w:hint="eastAsia"/>
        </w:rPr>
        <w:tab/>
      </w:r>
      <w:r>
        <w:rPr>
          <w:rFonts w:hint="eastAsia"/>
        </w:rPr>
        <w:t>B.盐度北低南高</w:t>
      </w:r>
      <w:r>
        <w:rPr>
          <w:rFonts w:hint="eastAsia"/>
        </w:rPr>
        <w:tab/>
      </w:r>
      <w:r>
        <w:rPr>
          <w:rFonts w:hint="eastAsia"/>
        </w:rPr>
        <w:t>C.湖床北深南浅</w:t>
      </w:r>
      <w:r>
        <w:rPr>
          <w:rFonts w:hint="eastAsia"/>
        </w:rPr>
        <w:tab/>
      </w:r>
      <w:r>
        <w:rPr>
          <w:rFonts w:hint="eastAsia"/>
        </w:rPr>
        <w:t>D.冬季无结冰期</w:t>
      </w:r>
    </w:p>
    <w:p>
      <w:pPr>
        <w:spacing w:line="288" w:lineRule="auto"/>
        <w:jc w:val="left"/>
      </w:pPr>
      <w:r>
        <w:rPr>
          <w:rFonts w:hint="eastAsia"/>
        </w:rPr>
        <w:t>12.1929年—1970年该湖泊萎缩的原因最可能是（    ）</w:t>
      </w:r>
    </w:p>
    <w:p>
      <w:pPr>
        <w:spacing w:line="288" w:lineRule="auto"/>
        <w:jc w:val="left"/>
      </w:pPr>
      <w:r>
        <w:rPr>
          <w:rFonts w:hint="eastAsia"/>
        </w:rPr>
        <w:t>A.围湖造田，引湖水灌溉</w:t>
      </w:r>
      <w:r>
        <w:rPr>
          <w:rFonts w:hint="eastAsia"/>
        </w:rPr>
        <w:tab/>
      </w:r>
      <w:r>
        <w:rPr>
          <w:rFonts w:hint="eastAsia"/>
        </w:rPr>
        <w:t>B.流域年平均降水量减少</w:t>
      </w:r>
    </w:p>
    <w:p>
      <w:pPr>
        <w:spacing w:line="288" w:lineRule="auto"/>
        <w:jc w:val="left"/>
      </w:pPr>
      <w:r>
        <w:rPr>
          <w:rFonts w:hint="eastAsia"/>
        </w:rPr>
        <w:t>C.流域年平均蒸发量加大</w:t>
      </w:r>
      <w:r>
        <w:rPr>
          <w:rFonts w:hint="eastAsia"/>
        </w:rPr>
        <w:tab/>
      </w:r>
      <w:r>
        <w:rPr>
          <w:rFonts w:hint="eastAsia"/>
        </w:rPr>
        <w:t>D.北部河流入湖水量较少</w:t>
      </w:r>
    </w:p>
    <w:p>
      <w:pPr>
        <w:spacing w:line="288" w:lineRule="auto"/>
        <w:ind w:firstLine="420" w:firstLineChars="200"/>
        <w:jc w:val="left"/>
        <w:rPr>
          <w:rFonts w:eastAsia="楷体"/>
        </w:rPr>
      </w:pPr>
      <w:r>
        <w:rPr>
          <w:rFonts w:hint="eastAsia" w:eastAsia="楷体"/>
        </w:rPr>
        <w:t>世界沙漠第一高峰必鲁图沙峰，位于我国第二大沙漠巴丹吉林，沙峰屹立于茫茫沙海之上，峰尖高耸，海拔1617米，相对高度差达到500多米，东侧为必鲁图海子，西侧为音德日图湖。图7示意必鲁图沙峰结构。据此完成13～14题。</w:t>
      </w:r>
    </w:p>
    <w:p>
      <w:pPr>
        <w:spacing w:line="288" w:lineRule="auto"/>
        <w:jc w:val="left"/>
      </w:pPr>
      <w:r>
        <w:drawing>
          <wp:inline distT="0" distB="0" distL="114300" distR="114300">
            <wp:extent cx="3181350" cy="1847850"/>
            <wp:effectExtent l="0" t="0" r="0" b="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0">
                      <a:lum contrast="12000"/>
                    </a:blip>
                    <a:stretch>
                      <a:fillRect/>
                    </a:stretch>
                  </pic:blipFill>
                  <pic:spPr>
                    <a:xfrm>
                      <a:off x="0" y="0"/>
                      <a:ext cx="3181350" cy="1847850"/>
                    </a:xfrm>
                    <a:prstGeom prst="rect">
                      <a:avLst/>
                    </a:prstGeom>
                    <a:noFill/>
                    <a:ln>
                      <a:noFill/>
                    </a:ln>
                  </pic:spPr>
                </pic:pic>
              </a:graphicData>
            </a:graphic>
          </wp:inline>
        </w:drawing>
      </w:r>
    </w:p>
    <w:p>
      <w:pPr>
        <w:spacing w:line="288" w:lineRule="auto"/>
        <w:ind w:firstLine="2100" w:firstLineChars="1000"/>
        <w:jc w:val="left"/>
      </w:pPr>
      <w:r>
        <w:rPr>
          <w:rFonts w:hint="eastAsia"/>
        </w:rPr>
        <w:t>图7</w:t>
      </w:r>
    </w:p>
    <w:p>
      <w:pPr>
        <w:spacing w:line="288" w:lineRule="auto"/>
        <w:jc w:val="left"/>
      </w:pPr>
      <w:r>
        <w:rPr>
          <w:rFonts w:hint="eastAsia"/>
        </w:rPr>
        <w:t>13.必鲁图沙峰的迎风坡朝向（    ）</w:t>
      </w:r>
    </w:p>
    <w:p>
      <w:pPr>
        <w:spacing w:line="288" w:lineRule="auto"/>
        <w:jc w:val="left"/>
      </w:pPr>
      <w:r>
        <w:rPr>
          <w:rFonts w:hint="eastAsia"/>
        </w:rPr>
        <w:t>A.西北</w:t>
      </w:r>
      <w:r>
        <w:rPr>
          <w:rFonts w:hint="eastAsia"/>
        </w:rPr>
        <w:tab/>
      </w:r>
      <w:r>
        <w:rPr>
          <w:rFonts w:hint="eastAsia"/>
        </w:rPr>
        <w:t>B.东南</w:t>
      </w:r>
      <w:r>
        <w:rPr>
          <w:rFonts w:hint="eastAsia"/>
        </w:rPr>
        <w:tab/>
      </w:r>
      <w:r>
        <w:rPr>
          <w:rFonts w:hint="eastAsia"/>
        </w:rPr>
        <w:t>C.西南</w:t>
      </w:r>
      <w:r>
        <w:rPr>
          <w:rFonts w:hint="eastAsia"/>
        </w:rPr>
        <w:tab/>
      </w:r>
      <w:r>
        <w:rPr>
          <w:rFonts w:hint="eastAsia"/>
        </w:rPr>
        <w:t>D.东北</w:t>
      </w:r>
    </w:p>
    <w:p>
      <w:pPr>
        <w:spacing w:line="288" w:lineRule="auto"/>
        <w:jc w:val="left"/>
      </w:pPr>
      <w:r>
        <w:rPr>
          <w:rFonts w:hint="eastAsia"/>
        </w:rPr>
        <w:t>14.推测必鲁图沙峰两侧湖泊的主要补给水源为（    ）</w:t>
      </w:r>
    </w:p>
    <w:p>
      <w:pPr>
        <w:spacing w:line="288" w:lineRule="auto"/>
        <w:jc w:val="left"/>
      </w:pPr>
      <w:r>
        <w:rPr>
          <w:rFonts w:hint="eastAsia"/>
        </w:rPr>
        <w:t>A.大气降水</w:t>
      </w:r>
      <w:r>
        <w:rPr>
          <w:rFonts w:hint="eastAsia"/>
        </w:rPr>
        <w:tab/>
      </w:r>
      <w:r>
        <w:rPr>
          <w:rFonts w:hint="eastAsia"/>
        </w:rPr>
        <w:tab/>
      </w:r>
      <w:r>
        <w:rPr>
          <w:rFonts w:hint="eastAsia"/>
        </w:rPr>
        <w:t>B.季节性积雪融水</w:t>
      </w:r>
    </w:p>
    <w:p>
      <w:pPr>
        <w:spacing w:line="288" w:lineRule="auto"/>
        <w:jc w:val="left"/>
      </w:pPr>
      <w:r>
        <w:rPr>
          <w:rFonts w:hint="eastAsia"/>
        </w:rPr>
        <w:t>C.地下水</w:t>
      </w:r>
      <w:r>
        <w:rPr>
          <w:rFonts w:hint="eastAsia"/>
        </w:rPr>
        <w:tab/>
      </w:r>
      <w:r>
        <w:rPr>
          <w:rFonts w:hint="eastAsia"/>
        </w:rPr>
        <w:tab/>
      </w:r>
      <w:r>
        <w:rPr>
          <w:rFonts w:hint="eastAsia"/>
        </w:rPr>
        <w:t>D.冰川融水</w:t>
      </w:r>
    </w:p>
    <w:p>
      <w:pPr>
        <w:spacing w:line="288" w:lineRule="auto"/>
        <w:ind w:firstLine="420" w:firstLineChars="200"/>
        <w:jc w:val="left"/>
        <w:rPr>
          <w:rFonts w:eastAsia="楷体"/>
        </w:rPr>
      </w:pPr>
      <w:r>
        <w:rPr>
          <w:rFonts w:hint="eastAsia" w:eastAsia="楷体"/>
        </w:rPr>
        <w:t>撒丁岛是位于意大利西部的一座岛屿，坐落于地中海中部，沿海有很多球状的岩石（图8），为花岗岩球状风化地貌，图9示意岩石圈的物质循环。据此完成15～17题。</w:t>
      </w:r>
    </w:p>
    <w:p>
      <w:pPr>
        <w:spacing w:line="288" w:lineRule="auto"/>
        <w:jc w:val="left"/>
      </w:pPr>
      <w:r>
        <w:drawing>
          <wp:inline distT="0" distB="0" distL="114300" distR="114300">
            <wp:extent cx="5657850" cy="1504950"/>
            <wp:effectExtent l="0" t="0" r="0" b="0"/>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11">
                      <a:lum contrast="12000"/>
                    </a:blip>
                    <a:stretch>
                      <a:fillRect/>
                    </a:stretch>
                  </pic:blipFill>
                  <pic:spPr>
                    <a:xfrm>
                      <a:off x="0" y="0"/>
                      <a:ext cx="5657850" cy="1504950"/>
                    </a:xfrm>
                    <a:prstGeom prst="rect">
                      <a:avLst/>
                    </a:prstGeom>
                    <a:noFill/>
                    <a:ln>
                      <a:noFill/>
                    </a:ln>
                  </pic:spPr>
                </pic:pic>
              </a:graphicData>
            </a:graphic>
          </wp:inline>
        </w:drawing>
      </w:r>
    </w:p>
    <w:p>
      <w:pPr>
        <w:spacing w:line="288" w:lineRule="auto"/>
        <w:ind w:firstLine="1470" w:firstLineChars="700"/>
        <w:jc w:val="left"/>
      </w:pPr>
      <w:r>
        <w:rPr>
          <w:rFonts w:hint="eastAsia"/>
        </w:rPr>
        <w:t>图8                                         图9</w:t>
      </w:r>
    </w:p>
    <w:p>
      <w:pPr>
        <w:spacing w:line="288" w:lineRule="auto"/>
        <w:jc w:val="left"/>
      </w:pPr>
      <w:r>
        <w:rPr>
          <w:rFonts w:hint="eastAsia"/>
        </w:rPr>
        <w:t>15.撒丁岛沿海的球状岩石类型按成因属于图9中的（    ）</w:t>
      </w:r>
    </w:p>
    <w:p>
      <w:pPr>
        <w:spacing w:line="288" w:lineRule="auto"/>
        <w:jc w:val="left"/>
      </w:pPr>
      <w:r>
        <w:rPr>
          <w:rFonts w:hint="eastAsia"/>
        </w:rPr>
        <w:t>A.甲</w:t>
      </w:r>
      <w:r>
        <w:rPr>
          <w:rFonts w:hint="eastAsia"/>
        </w:rPr>
        <w:tab/>
      </w:r>
      <w:r>
        <w:rPr>
          <w:rFonts w:hint="eastAsia"/>
        </w:rPr>
        <w:t>B.乙</w:t>
      </w:r>
      <w:r>
        <w:rPr>
          <w:rFonts w:hint="eastAsia"/>
        </w:rPr>
        <w:tab/>
      </w:r>
      <w:r>
        <w:rPr>
          <w:rFonts w:hint="eastAsia"/>
        </w:rPr>
        <w:t>C.丁</w:t>
      </w:r>
      <w:r>
        <w:rPr>
          <w:rFonts w:hint="eastAsia"/>
        </w:rPr>
        <w:tab/>
      </w:r>
      <w:r>
        <w:rPr>
          <w:rFonts w:hint="eastAsia"/>
        </w:rPr>
        <w:t>D.戊</w:t>
      </w:r>
    </w:p>
    <w:p>
      <w:pPr>
        <w:spacing w:line="288" w:lineRule="auto"/>
        <w:jc w:val="left"/>
      </w:pPr>
      <w:r>
        <w:rPr>
          <w:rFonts w:hint="eastAsia"/>
        </w:rPr>
        <w:t>16.形成撒丁岛沿海球状岩石类型的地质作用序号是图9中的（    ）</w:t>
      </w:r>
    </w:p>
    <w:p>
      <w:pPr>
        <w:spacing w:line="288" w:lineRule="auto"/>
        <w:jc w:val="left"/>
      </w:pPr>
      <w:r>
        <w:rPr>
          <w:rFonts w:hint="eastAsia"/>
        </w:rPr>
        <w:t>A.①</w:t>
      </w:r>
      <w:r>
        <w:rPr>
          <w:rFonts w:hint="eastAsia"/>
        </w:rPr>
        <w:tab/>
      </w:r>
      <w:r>
        <w:rPr>
          <w:rFonts w:hint="eastAsia"/>
        </w:rPr>
        <w:t>B.②</w:t>
      </w:r>
      <w:r>
        <w:rPr>
          <w:rFonts w:hint="eastAsia"/>
        </w:rPr>
        <w:tab/>
      </w:r>
      <w:r>
        <w:rPr>
          <w:rFonts w:hint="eastAsia"/>
        </w:rPr>
        <w:t>C.④</w:t>
      </w:r>
      <w:r>
        <w:rPr>
          <w:rFonts w:hint="eastAsia"/>
        </w:rPr>
        <w:tab/>
      </w:r>
      <w:r>
        <w:rPr>
          <w:rFonts w:hint="eastAsia"/>
        </w:rPr>
        <w:t>D.⑥</w:t>
      </w:r>
    </w:p>
    <w:p>
      <w:pPr>
        <w:spacing w:line="288" w:lineRule="auto"/>
        <w:jc w:val="left"/>
      </w:pPr>
      <w:r>
        <w:rPr>
          <w:rFonts w:hint="eastAsia"/>
        </w:rPr>
        <w:t>17.形成图8景观的地质作用过程是（    ）</w:t>
      </w:r>
    </w:p>
    <w:p>
      <w:pPr>
        <w:spacing w:line="288" w:lineRule="auto"/>
        <w:jc w:val="left"/>
      </w:pPr>
      <w:r>
        <w:rPr>
          <w:rFonts w:hint="eastAsia"/>
        </w:rPr>
        <w:t>A.岩浆喷出—地壳下降—海水侵蚀—风化作用</w:t>
      </w:r>
    </w:p>
    <w:p>
      <w:pPr>
        <w:spacing w:line="288" w:lineRule="auto"/>
        <w:jc w:val="left"/>
      </w:pPr>
      <w:r>
        <w:rPr>
          <w:rFonts w:hint="eastAsia"/>
        </w:rPr>
        <w:t>B.固结成岩—地壳抬升—风化作用—海水侵蚀</w:t>
      </w:r>
    </w:p>
    <w:p>
      <w:pPr>
        <w:spacing w:line="288" w:lineRule="auto"/>
        <w:jc w:val="left"/>
      </w:pPr>
      <w:r>
        <w:rPr>
          <w:rFonts w:hint="eastAsia"/>
        </w:rPr>
        <w:t>C.海水侵蚀—地壳下降—岩浆喷出—风化作用</w:t>
      </w:r>
    </w:p>
    <w:p>
      <w:pPr>
        <w:spacing w:line="288" w:lineRule="auto"/>
        <w:jc w:val="left"/>
      </w:pPr>
      <w:r>
        <w:rPr>
          <w:rFonts w:hint="eastAsia"/>
        </w:rPr>
        <w:t>D.岩浆侵入一地壳抬升—风化作用—海水侵蚀</w:t>
      </w:r>
    </w:p>
    <w:p>
      <w:pPr>
        <w:spacing w:line="288" w:lineRule="auto"/>
        <w:ind w:firstLine="420" w:firstLineChars="200"/>
        <w:jc w:val="left"/>
        <w:rPr>
          <w:rFonts w:eastAsia="楷体"/>
        </w:rPr>
      </w:pPr>
      <w:r>
        <w:rPr>
          <w:rFonts w:hint="eastAsia" w:eastAsia="楷体"/>
        </w:rPr>
        <w:t>2023年5月30日9时31分，搭载神舟十六号载人飞船在酒泉卫星发射中心发射成功，搭乘神舟十六号飞船的三名航天员将在空间站进行长达5个月的在轨任务。神舟十六号航天员景海鹏、朱杨柱、桂海潮在2023年9月21日15时45分面向全国青少年进行了第四次太空科普授课。图10示意我国二十四节气。据此完成18～20题。</w:t>
      </w:r>
    </w:p>
    <w:p>
      <w:pPr>
        <w:spacing w:line="288" w:lineRule="auto"/>
        <w:jc w:val="left"/>
      </w:pPr>
      <w:r>
        <w:drawing>
          <wp:inline distT="0" distB="0" distL="114300" distR="114300">
            <wp:extent cx="2057400" cy="1943100"/>
            <wp:effectExtent l="0" t="0" r="0" b="0"/>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12">
                      <a:lum contrast="18000"/>
                    </a:blip>
                    <a:stretch>
                      <a:fillRect/>
                    </a:stretch>
                  </pic:blipFill>
                  <pic:spPr>
                    <a:xfrm>
                      <a:off x="0" y="0"/>
                      <a:ext cx="2057400" cy="1943100"/>
                    </a:xfrm>
                    <a:prstGeom prst="rect">
                      <a:avLst/>
                    </a:prstGeom>
                    <a:noFill/>
                    <a:ln>
                      <a:noFill/>
                    </a:ln>
                  </pic:spPr>
                </pic:pic>
              </a:graphicData>
            </a:graphic>
          </wp:inline>
        </w:drawing>
      </w:r>
    </w:p>
    <w:p>
      <w:pPr>
        <w:spacing w:line="288" w:lineRule="auto"/>
        <w:ind w:firstLine="1260" w:firstLineChars="600"/>
        <w:jc w:val="left"/>
      </w:pPr>
      <w:r>
        <w:rPr>
          <w:rFonts w:hint="eastAsia"/>
        </w:rPr>
        <w:t>图10</w:t>
      </w:r>
    </w:p>
    <w:p>
      <w:pPr>
        <w:spacing w:line="288" w:lineRule="auto"/>
        <w:jc w:val="left"/>
      </w:pPr>
      <w:r>
        <w:rPr>
          <w:rFonts w:hint="eastAsia"/>
        </w:rPr>
        <w:t>18.远在纽约（40°43'N，74°W）留学的小明观看神舟十六号飞船发射直播，开始时间是当地（    ）</w:t>
      </w:r>
    </w:p>
    <w:p>
      <w:pPr>
        <w:spacing w:line="288" w:lineRule="auto"/>
        <w:jc w:val="left"/>
      </w:pPr>
      <w:r>
        <w:rPr>
          <w:rFonts w:hint="eastAsia"/>
        </w:rPr>
        <w:t>A.5月30日22时31分</w:t>
      </w:r>
      <w:r>
        <w:rPr>
          <w:rFonts w:hint="eastAsia"/>
        </w:rPr>
        <w:tab/>
      </w:r>
      <w:r>
        <w:rPr>
          <w:rFonts w:hint="eastAsia"/>
        </w:rPr>
        <w:t>B.5月29日20时31分</w:t>
      </w:r>
    </w:p>
    <w:p>
      <w:pPr>
        <w:spacing w:line="288" w:lineRule="auto"/>
        <w:jc w:val="left"/>
      </w:pPr>
      <w:r>
        <w:rPr>
          <w:rFonts w:hint="eastAsia"/>
        </w:rPr>
        <w:t>C.5月30日20时31分</w:t>
      </w:r>
      <w:r>
        <w:rPr>
          <w:rFonts w:hint="eastAsia"/>
        </w:rPr>
        <w:tab/>
      </w:r>
      <w:r>
        <w:rPr>
          <w:rFonts w:hint="eastAsia"/>
        </w:rPr>
        <w:t>D.5月29日22时31分</w:t>
      </w:r>
    </w:p>
    <w:p>
      <w:pPr>
        <w:spacing w:line="288" w:lineRule="auto"/>
        <w:jc w:val="left"/>
      </w:pPr>
      <w:r>
        <w:rPr>
          <w:rFonts w:hint="eastAsia"/>
        </w:rPr>
        <w:t>19.神舟十六号载人飞船发射成功至第四次太空授课期间（    ）</w:t>
      </w:r>
    </w:p>
    <w:p>
      <w:pPr>
        <w:spacing w:line="288" w:lineRule="auto"/>
        <w:jc w:val="left"/>
      </w:pPr>
      <w:r>
        <w:rPr>
          <w:rFonts w:hint="eastAsia"/>
        </w:rPr>
        <w:t>A.非洲热带草原的动物向北迁徙</w:t>
      </w:r>
      <w:r>
        <w:rPr>
          <w:rFonts w:hint="eastAsia"/>
        </w:rPr>
        <w:tab/>
      </w:r>
      <w:r>
        <w:rPr>
          <w:rFonts w:hint="eastAsia"/>
        </w:rPr>
        <w:t>B.南非开普敦森林火险等级升高</w:t>
      </w:r>
    </w:p>
    <w:p>
      <w:pPr>
        <w:spacing w:line="288" w:lineRule="auto"/>
        <w:jc w:val="left"/>
      </w:pPr>
      <w:r>
        <w:rPr>
          <w:rFonts w:hint="eastAsia"/>
        </w:rPr>
        <w:t>C.华盛顿白昼时间逐渐变长</w:t>
      </w:r>
      <w:r>
        <w:rPr>
          <w:rFonts w:hint="eastAsia"/>
        </w:rPr>
        <w:tab/>
      </w:r>
      <w:r>
        <w:rPr>
          <w:rFonts w:hint="eastAsia"/>
        </w:rPr>
        <w:t>D.北京正午太阳高度角变大</w:t>
      </w:r>
    </w:p>
    <w:p>
      <w:pPr>
        <w:spacing w:line="288" w:lineRule="auto"/>
        <w:jc w:val="left"/>
      </w:pPr>
      <w:r>
        <w:rPr>
          <w:rFonts w:hint="eastAsia"/>
        </w:rPr>
        <w:t>20.神舟十六号载人飞船发射当日最接近二十四节气中的（    ）</w:t>
      </w:r>
    </w:p>
    <w:p>
      <w:pPr>
        <w:spacing w:line="288" w:lineRule="auto"/>
        <w:jc w:val="left"/>
      </w:pPr>
      <w:r>
        <w:rPr>
          <w:rFonts w:hint="eastAsia"/>
        </w:rPr>
        <w:t>A.立夏</w:t>
      </w:r>
      <w:r>
        <w:rPr>
          <w:rFonts w:hint="eastAsia"/>
        </w:rPr>
        <w:tab/>
      </w:r>
      <w:r>
        <w:rPr>
          <w:rFonts w:hint="eastAsia"/>
        </w:rPr>
        <w:t>B.芒种</w:t>
      </w:r>
      <w:r>
        <w:rPr>
          <w:rFonts w:hint="eastAsia"/>
        </w:rPr>
        <w:tab/>
      </w:r>
      <w:r>
        <w:rPr>
          <w:rFonts w:hint="eastAsia"/>
        </w:rPr>
        <w:t>C.夏至</w:t>
      </w:r>
      <w:r>
        <w:rPr>
          <w:rFonts w:hint="eastAsia"/>
        </w:rPr>
        <w:tab/>
      </w:r>
      <w:r>
        <w:rPr>
          <w:rFonts w:hint="eastAsia"/>
        </w:rPr>
        <w:t>D.大暑</w:t>
      </w:r>
    </w:p>
    <w:p>
      <w:pPr>
        <w:spacing w:line="288" w:lineRule="auto"/>
        <w:ind w:firstLine="420" w:firstLineChars="200"/>
        <w:jc w:val="left"/>
        <w:rPr>
          <w:rFonts w:eastAsia="楷体"/>
        </w:rPr>
      </w:pPr>
      <w:r>
        <w:rPr>
          <w:rFonts w:hint="eastAsia" w:eastAsia="楷体"/>
        </w:rPr>
        <w:t>秘鲁全国平均降水量1691毫米，水资源地区分布极不均衡，为此秘鲁实施了“东水西调”工程。图11示意秘鲁“东水西调”工程部分路线。据此完成21～22题。</w:t>
      </w:r>
    </w:p>
    <w:p>
      <w:pPr>
        <w:spacing w:line="288" w:lineRule="auto"/>
        <w:jc w:val="left"/>
      </w:pPr>
      <w:r>
        <w:drawing>
          <wp:inline distT="0" distB="0" distL="114300" distR="114300">
            <wp:extent cx="1911350" cy="2428875"/>
            <wp:effectExtent l="0" t="0" r="12700" b="952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13">
                      <a:lum contrast="12000"/>
                    </a:blip>
                    <a:stretch>
                      <a:fillRect/>
                    </a:stretch>
                  </pic:blipFill>
                  <pic:spPr>
                    <a:xfrm>
                      <a:off x="0" y="0"/>
                      <a:ext cx="1911350" cy="2428875"/>
                    </a:xfrm>
                    <a:prstGeom prst="rect">
                      <a:avLst/>
                    </a:prstGeom>
                    <a:noFill/>
                    <a:ln>
                      <a:noFill/>
                    </a:ln>
                  </pic:spPr>
                </pic:pic>
              </a:graphicData>
            </a:graphic>
          </wp:inline>
        </w:drawing>
      </w:r>
    </w:p>
    <w:p>
      <w:pPr>
        <w:spacing w:line="288" w:lineRule="auto"/>
        <w:ind w:firstLine="1260" w:firstLineChars="600"/>
        <w:jc w:val="left"/>
      </w:pPr>
      <w:r>
        <w:rPr>
          <w:rFonts w:hint="eastAsia"/>
        </w:rPr>
        <w:t>图11</w:t>
      </w:r>
    </w:p>
    <w:p>
      <w:pPr>
        <w:spacing w:line="288" w:lineRule="auto"/>
        <w:jc w:val="left"/>
      </w:pPr>
      <w:r>
        <w:rPr>
          <w:rFonts w:hint="eastAsia"/>
        </w:rPr>
        <w:t>21.秘鲁“东水西调”工程建设难度较大，其主要自然原因是（    ）</w:t>
      </w:r>
    </w:p>
    <w:p>
      <w:pPr>
        <w:spacing w:line="288" w:lineRule="auto"/>
        <w:jc w:val="left"/>
      </w:pPr>
      <w:r>
        <w:rPr>
          <w:rFonts w:hint="eastAsia"/>
        </w:rPr>
        <w:t>A.气候闷热潮</w:t>
      </w:r>
      <w:r>
        <w:rPr>
          <w:rFonts w:hint="eastAsia"/>
        </w:rPr>
        <w:tab/>
      </w:r>
      <w:r>
        <w:rPr>
          <w:rFonts w:hint="eastAsia"/>
        </w:rPr>
        <w:t>B.科技水平较低</w:t>
      </w:r>
      <w:r>
        <w:rPr>
          <w:rFonts w:hint="eastAsia"/>
        </w:rPr>
        <w:tab/>
      </w:r>
      <w:r>
        <w:rPr>
          <w:rFonts w:hint="eastAsia"/>
        </w:rPr>
        <w:t>C.建设资金缺乏</w:t>
      </w:r>
      <w:r>
        <w:rPr>
          <w:rFonts w:hint="eastAsia"/>
        </w:rPr>
        <w:tab/>
      </w:r>
      <w:r>
        <w:rPr>
          <w:rFonts w:hint="eastAsia"/>
        </w:rPr>
        <w:t>D.地质条件复杂</w:t>
      </w:r>
    </w:p>
    <w:p>
      <w:pPr>
        <w:spacing w:line="288" w:lineRule="auto"/>
        <w:jc w:val="left"/>
      </w:pPr>
      <w:r>
        <w:rPr>
          <w:rFonts w:hint="eastAsia"/>
        </w:rPr>
        <w:t>22.秘鲁“东水西调”工程可能会对利马带来的影响是（    ）</w:t>
      </w:r>
    </w:p>
    <w:p>
      <w:pPr>
        <w:spacing w:line="288" w:lineRule="auto"/>
        <w:jc w:val="left"/>
      </w:pPr>
      <w:r>
        <w:rPr>
          <w:rFonts w:hint="eastAsia"/>
        </w:rPr>
        <w:t>A.缓解城市地面的沉降</w:t>
      </w:r>
      <w:r>
        <w:rPr>
          <w:rFonts w:hint="eastAsia"/>
        </w:rPr>
        <w:tab/>
      </w:r>
      <w:r>
        <w:rPr>
          <w:rFonts w:hint="eastAsia"/>
        </w:rPr>
        <w:tab/>
      </w:r>
      <w:r>
        <w:rPr>
          <w:rFonts w:hint="eastAsia"/>
        </w:rPr>
        <w:t>B.沿海地区渔获量增加</w:t>
      </w:r>
    </w:p>
    <w:p>
      <w:pPr>
        <w:spacing w:line="288" w:lineRule="auto"/>
        <w:jc w:val="left"/>
      </w:pPr>
      <w:r>
        <w:rPr>
          <w:rFonts w:hint="eastAsia"/>
        </w:rPr>
        <w:t>C.城市的等级不断提升</w:t>
      </w:r>
      <w:r>
        <w:rPr>
          <w:rFonts w:hint="eastAsia"/>
        </w:rPr>
        <w:tab/>
      </w:r>
      <w:r>
        <w:rPr>
          <w:rFonts w:hint="eastAsia"/>
        </w:rPr>
        <w:tab/>
      </w:r>
      <w:r>
        <w:rPr>
          <w:rFonts w:hint="eastAsia"/>
        </w:rPr>
        <w:t>D.降水量得到明显增加</w:t>
      </w:r>
    </w:p>
    <w:p>
      <w:pPr>
        <w:spacing w:line="288" w:lineRule="auto"/>
        <w:ind w:firstLine="420" w:firstLineChars="200"/>
        <w:jc w:val="left"/>
        <w:rPr>
          <w:rFonts w:eastAsia="楷体"/>
        </w:rPr>
      </w:pPr>
      <w:r>
        <w:rPr>
          <w:rFonts w:hint="eastAsia" w:eastAsia="楷体"/>
        </w:rPr>
        <w:t>“渝新欧”中欧班列是重庆至欧洲国际铁路大通道，该班列从重庆团结村站始发，由阿拉山口出境，途经哈萨克斯坦、俄罗斯、白俄罗斯、波兰至德国杜伊斯堡站，全程约11179公里，运转时间约13天，货物首要是本地出产的IT商品，同时也吸引了更多的欧洲高端消费品进入我国。图12示意“渝新欧”铁路线路。据此完成23～25题。</w:t>
      </w:r>
    </w:p>
    <w:p>
      <w:pPr>
        <w:spacing w:line="288" w:lineRule="auto"/>
        <w:jc w:val="left"/>
      </w:pPr>
      <w:r>
        <w:drawing>
          <wp:inline distT="0" distB="0" distL="114300" distR="114300">
            <wp:extent cx="4076700" cy="1533525"/>
            <wp:effectExtent l="0" t="0" r="0" b="9525"/>
            <wp:docPr id="14"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2"/>
                    <pic:cNvPicPr>
                      <a:picLocks noChangeAspect="1"/>
                    </pic:cNvPicPr>
                  </pic:nvPicPr>
                  <pic:blipFill>
                    <a:blip r:embed="rId14">
                      <a:lum contrast="12000"/>
                    </a:blip>
                    <a:stretch>
                      <a:fillRect/>
                    </a:stretch>
                  </pic:blipFill>
                  <pic:spPr>
                    <a:xfrm>
                      <a:off x="0" y="0"/>
                      <a:ext cx="4076700" cy="1533525"/>
                    </a:xfrm>
                    <a:prstGeom prst="rect">
                      <a:avLst/>
                    </a:prstGeom>
                    <a:noFill/>
                    <a:ln>
                      <a:noFill/>
                    </a:ln>
                  </pic:spPr>
                </pic:pic>
              </a:graphicData>
            </a:graphic>
          </wp:inline>
        </w:drawing>
      </w:r>
    </w:p>
    <w:p>
      <w:pPr>
        <w:spacing w:line="288" w:lineRule="auto"/>
        <w:ind w:firstLine="2730" w:firstLineChars="1300"/>
        <w:jc w:val="left"/>
      </w:pPr>
      <w:r>
        <w:rPr>
          <w:rFonts w:hint="eastAsia"/>
        </w:rPr>
        <w:t>图12</w:t>
      </w:r>
    </w:p>
    <w:p>
      <w:pPr>
        <w:spacing w:line="288" w:lineRule="auto"/>
        <w:jc w:val="left"/>
      </w:pPr>
      <w:r>
        <w:rPr>
          <w:rFonts w:hint="eastAsia"/>
        </w:rPr>
        <w:t>23.与其他运输方式相比，“渝新欧”中欧班列（    ）</w:t>
      </w:r>
    </w:p>
    <w:p>
      <w:pPr>
        <w:spacing w:line="288" w:lineRule="auto"/>
        <w:jc w:val="left"/>
      </w:pPr>
      <w:r>
        <w:rPr>
          <w:rFonts w:hint="eastAsia"/>
        </w:rPr>
        <w:t>A.运费比海运低，安全性高</w:t>
      </w:r>
      <w:r>
        <w:rPr>
          <w:rFonts w:hint="eastAsia"/>
        </w:rPr>
        <w:tab/>
      </w:r>
      <w:r>
        <w:rPr>
          <w:rFonts w:hint="eastAsia"/>
        </w:rPr>
        <w:t>B.运时比航空短，效率更高</w:t>
      </w:r>
    </w:p>
    <w:p>
      <w:pPr>
        <w:spacing w:line="288" w:lineRule="auto"/>
        <w:jc w:val="left"/>
      </w:pPr>
      <w:r>
        <w:rPr>
          <w:rFonts w:hint="eastAsia"/>
        </w:rPr>
        <w:t>C.灵活性比公路差，运费低</w:t>
      </w:r>
      <w:r>
        <w:rPr>
          <w:rFonts w:hint="eastAsia"/>
        </w:rPr>
        <w:tab/>
      </w:r>
      <w:r>
        <w:rPr>
          <w:rFonts w:hint="eastAsia"/>
        </w:rPr>
        <w:t>D.货物比管道单一，占地广</w:t>
      </w:r>
    </w:p>
    <w:p>
      <w:pPr>
        <w:spacing w:line="288" w:lineRule="auto"/>
        <w:jc w:val="left"/>
      </w:pPr>
      <w:r>
        <w:rPr>
          <w:rFonts w:hint="eastAsia"/>
        </w:rPr>
        <w:t>24.“渝新欧”中欧班列（    ）</w:t>
      </w:r>
    </w:p>
    <w:p>
      <w:pPr>
        <w:spacing w:line="288" w:lineRule="auto"/>
        <w:jc w:val="left"/>
      </w:pPr>
      <w:r>
        <w:rPr>
          <w:rFonts w:hint="eastAsia"/>
        </w:rPr>
        <w:t>A.途径国家经济水平差距小</w:t>
      </w:r>
      <w:r>
        <w:rPr>
          <w:rFonts w:hint="eastAsia"/>
        </w:rPr>
        <w:tab/>
      </w:r>
      <w:r>
        <w:rPr>
          <w:rFonts w:hint="eastAsia"/>
        </w:rPr>
        <w:t>B.运输方向大致为南北方向</w:t>
      </w:r>
    </w:p>
    <w:p>
      <w:pPr>
        <w:spacing w:line="288" w:lineRule="auto"/>
        <w:jc w:val="left"/>
      </w:pPr>
      <w:r>
        <w:rPr>
          <w:rFonts w:hint="eastAsia"/>
        </w:rPr>
        <w:t>C.沿线经过的地形区较单一</w:t>
      </w:r>
      <w:r>
        <w:rPr>
          <w:rFonts w:hint="eastAsia"/>
        </w:rPr>
        <w:tab/>
      </w:r>
      <w:r>
        <w:rPr>
          <w:rFonts w:hint="eastAsia"/>
        </w:rPr>
        <w:t>D.沿线自然带植被差异明显</w:t>
      </w:r>
    </w:p>
    <w:p>
      <w:pPr>
        <w:spacing w:line="288" w:lineRule="auto"/>
        <w:jc w:val="left"/>
      </w:pPr>
      <w:r>
        <w:rPr>
          <w:rFonts w:hint="eastAsia"/>
        </w:rPr>
        <w:t>25.“渝新欧”中欧班列的开通，对重庆的主要影响是（    ）</w:t>
      </w:r>
    </w:p>
    <w:p>
      <w:pPr>
        <w:spacing w:line="288" w:lineRule="auto"/>
        <w:jc w:val="left"/>
      </w:pPr>
      <w:r>
        <w:rPr>
          <w:rFonts w:hint="eastAsia"/>
        </w:rPr>
        <w:t>A.带动旅游业的发展</w:t>
      </w:r>
      <w:r>
        <w:rPr>
          <w:rFonts w:hint="eastAsia"/>
        </w:rPr>
        <w:tab/>
      </w:r>
      <w:r>
        <w:rPr>
          <w:rFonts w:hint="eastAsia"/>
        </w:rPr>
        <w:tab/>
      </w:r>
      <w:r>
        <w:rPr>
          <w:rFonts w:hint="eastAsia"/>
        </w:rPr>
        <w:t>B.促进贸易量的增加</w:t>
      </w:r>
    </w:p>
    <w:p>
      <w:pPr>
        <w:spacing w:line="288" w:lineRule="auto"/>
        <w:jc w:val="left"/>
      </w:pPr>
      <w:r>
        <w:rPr>
          <w:rFonts w:hint="eastAsia"/>
        </w:rPr>
        <w:t>C.便于人才信息交流</w:t>
      </w:r>
      <w:r>
        <w:rPr>
          <w:rFonts w:hint="eastAsia"/>
        </w:rPr>
        <w:tab/>
      </w:r>
      <w:r>
        <w:rPr>
          <w:rFonts w:hint="eastAsia"/>
        </w:rPr>
        <w:tab/>
      </w:r>
      <w:r>
        <w:rPr>
          <w:rFonts w:hint="eastAsia"/>
        </w:rPr>
        <w:t>D.引进欧洲先进技术</w:t>
      </w:r>
    </w:p>
    <w:p>
      <w:pPr>
        <w:spacing w:line="288" w:lineRule="auto"/>
        <w:jc w:val="left"/>
        <w:rPr>
          <w:b/>
          <w:bCs/>
          <w:sz w:val="24"/>
          <w:szCs w:val="32"/>
        </w:rPr>
      </w:pPr>
      <w:r>
        <w:rPr>
          <w:rFonts w:hint="eastAsia"/>
          <w:b/>
          <w:bCs/>
          <w:sz w:val="24"/>
          <w:szCs w:val="32"/>
        </w:rPr>
        <w:t>二、非选择题：共50分。</w:t>
      </w:r>
    </w:p>
    <w:p>
      <w:pPr>
        <w:spacing w:line="288" w:lineRule="auto"/>
        <w:jc w:val="left"/>
      </w:pPr>
      <w:r>
        <w:rPr>
          <w:rFonts w:hint="eastAsia"/>
        </w:rPr>
        <w:t>26.阅读图文材料，完成相关要求。（14分）</w:t>
      </w:r>
    </w:p>
    <w:p>
      <w:pPr>
        <w:spacing w:line="288" w:lineRule="auto"/>
        <w:ind w:firstLine="420" w:firstLineChars="200"/>
        <w:jc w:val="left"/>
        <w:rPr>
          <w:rFonts w:eastAsia="楷体"/>
        </w:rPr>
      </w:pPr>
      <w:r>
        <w:rPr>
          <w:rFonts w:hint="eastAsia" w:eastAsia="楷体"/>
        </w:rPr>
        <w:t>央广网2023年9月23日报道，河南郸城，辣椒迎丰收，特色产业别样“红”。郸城县是周口市下辖县，位于河南省东部，豫皖两省交界处，其地貌为豫东平原。近年来，郸城县巧妙布局农业特色产业，让大地生金，积极引导群众通过土地流转的形式，种植红辣椒等农作物，各行政村采取“公司十基地十合作社十农户”的模式，发展特色产业，有力推动了乡村全面振兴。图13示意河南省周口市郸城县地理位置。</w:t>
      </w:r>
    </w:p>
    <w:p>
      <w:pPr>
        <w:spacing w:line="288" w:lineRule="auto"/>
        <w:jc w:val="left"/>
      </w:pPr>
      <w:r>
        <w:drawing>
          <wp:inline distT="0" distB="0" distL="114300" distR="114300">
            <wp:extent cx="3829050" cy="1914525"/>
            <wp:effectExtent l="0" t="0" r="0" b="952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5">
                      <a:lum contrast="18000"/>
                    </a:blip>
                    <a:stretch>
                      <a:fillRect/>
                    </a:stretch>
                  </pic:blipFill>
                  <pic:spPr>
                    <a:xfrm>
                      <a:off x="0" y="0"/>
                      <a:ext cx="3829050" cy="1914525"/>
                    </a:xfrm>
                    <a:prstGeom prst="rect">
                      <a:avLst/>
                    </a:prstGeom>
                    <a:noFill/>
                    <a:ln>
                      <a:noFill/>
                    </a:ln>
                  </pic:spPr>
                </pic:pic>
              </a:graphicData>
            </a:graphic>
          </wp:inline>
        </w:drawing>
      </w:r>
    </w:p>
    <w:p>
      <w:pPr>
        <w:spacing w:line="288" w:lineRule="auto"/>
        <w:ind w:firstLine="2100" w:firstLineChars="1000"/>
        <w:jc w:val="left"/>
      </w:pPr>
      <w:r>
        <w:rPr>
          <w:rFonts w:hint="eastAsia"/>
        </w:rPr>
        <w:t>图13</w:t>
      </w:r>
    </w:p>
    <w:p>
      <w:pPr>
        <w:spacing w:line="288" w:lineRule="auto"/>
        <w:jc w:val="left"/>
      </w:pPr>
      <w:r>
        <w:rPr>
          <w:rFonts w:hint="eastAsia"/>
        </w:rPr>
        <w:t>（1）简述郸城县种植辣椒的区位条件。（8分）</w:t>
      </w:r>
    </w:p>
    <w:p>
      <w:pPr>
        <w:spacing w:line="288" w:lineRule="auto"/>
        <w:jc w:val="left"/>
      </w:pPr>
      <w:r>
        <w:rPr>
          <w:rFonts w:hint="eastAsia"/>
        </w:rPr>
        <w:t>（2）说明郸城县采取“公司+基地+合作社+农户”模式对当地辣椒产业发展的有利影响。（6分）</w:t>
      </w:r>
    </w:p>
    <w:p>
      <w:pPr>
        <w:spacing w:line="288" w:lineRule="auto"/>
        <w:jc w:val="left"/>
      </w:pPr>
      <w:r>
        <w:rPr>
          <w:rFonts w:hint="eastAsia"/>
        </w:rPr>
        <w:t>27.阅读图文材料，完成下列要求。（16分）</w:t>
      </w:r>
    </w:p>
    <w:p>
      <w:pPr>
        <w:spacing w:line="288" w:lineRule="auto"/>
        <w:ind w:firstLine="420" w:firstLineChars="200"/>
        <w:jc w:val="left"/>
        <w:rPr>
          <w:rFonts w:eastAsia="楷体"/>
        </w:rPr>
      </w:pPr>
      <w:r>
        <w:rPr>
          <w:rFonts w:hint="eastAsia" w:eastAsia="楷体"/>
        </w:rPr>
        <w:t>乌海市是内蒙古自治区下辖地级市，素有“黄河明珠”的美誉。自1985年乌海市委、市政府做出加快发展葡萄种植业，建立葡萄商品生产基地的决定以来，乌海规模化种植葡萄已有近30年历史。乌海所产葡萄含糖量高，酸度适中，色泽鲜艳，香气浓郁，无农药污染，品质极佳，乌海葡萄通过国家首批农产品地理标志认证，乌海葡萄基地被评为“全国优质葡萄生产基地”，所产葡萄酒在国内国际评比大赛中屡获金奖，“汉森”葡萄酒荣获全国驰名商标，2015年，乌海市提出了打造“中国沙漠原生态葡萄酒庄之都”，引领带动农区一、二、三产业融合发展，成为乌海农业经济发展的新引擎。图14示意乌海市地理位置。</w:t>
      </w:r>
    </w:p>
    <w:p>
      <w:pPr>
        <w:spacing w:line="288" w:lineRule="auto"/>
        <w:jc w:val="left"/>
      </w:pPr>
      <w:r>
        <w:drawing>
          <wp:inline distT="0" distB="0" distL="114300" distR="114300">
            <wp:extent cx="3070225" cy="2046605"/>
            <wp:effectExtent l="0" t="0" r="15875" b="10795"/>
            <wp:docPr id="19"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pic:cNvPicPr>
                      <a:picLocks noChangeAspect="1"/>
                    </pic:cNvPicPr>
                  </pic:nvPicPr>
                  <pic:blipFill>
                    <a:blip r:embed="rId16">
                      <a:lum contrast="18000"/>
                    </a:blip>
                    <a:stretch>
                      <a:fillRect/>
                    </a:stretch>
                  </pic:blipFill>
                  <pic:spPr>
                    <a:xfrm>
                      <a:off x="0" y="0"/>
                      <a:ext cx="3070225" cy="2046605"/>
                    </a:xfrm>
                    <a:prstGeom prst="rect">
                      <a:avLst/>
                    </a:prstGeom>
                    <a:noFill/>
                    <a:ln>
                      <a:noFill/>
                    </a:ln>
                  </pic:spPr>
                </pic:pic>
              </a:graphicData>
            </a:graphic>
          </wp:inline>
        </w:drawing>
      </w:r>
    </w:p>
    <w:p>
      <w:pPr>
        <w:spacing w:line="288" w:lineRule="auto"/>
        <w:ind w:firstLine="1680" w:firstLineChars="800"/>
        <w:jc w:val="left"/>
      </w:pPr>
      <w:r>
        <w:rPr>
          <w:rFonts w:hint="eastAsia"/>
        </w:rPr>
        <w:t>图14</w:t>
      </w:r>
    </w:p>
    <w:p>
      <w:pPr>
        <w:spacing w:line="288" w:lineRule="auto"/>
        <w:jc w:val="left"/>
      </w:pPr>
      <w:r>
        <w:rPr>
          <w:rFonts w:hint="eastAsia"/>
        </w:rPr>
        <w:t>（1）简述乌海市发展葡萄酒产业的区位条件。（8分）</w:t>
      </w:r>
    </w:p>
    <w:p>
      <w:pPr>
        <w:spacing w:line="288" w:lineRule="auto"/>
        <w:jc w:val="left"/>
      </w:pPr>
      <w:r>
        <w:rPr>
          <w:rFonts w:hint="eastAsia"/>
        </w:rPr>
        <w:t>（2）从产业融合的角度，列举出提升乌海葡萄产业竞争力的可行性措施。（8分）</w:t>
      </w:r>
    </w:p>
    <w:p>
      <w:pPr>
        <w:spacing w:line="288" w:lineRule="auto"/>
        <w:jc w:val="left"/>
      </w:pPr>
      <w:r>
        <w:rPr>
          <w:rFonts w:hint="eastAsia"/>
        </w:rPr>
        <w:t>28.阅读图文材料，完成相关要求。（10分）</w:t>
      </w:r>
    </w:p>
    <w:p>
      <w:pPr>
        <w:spacing w:line="288" w:lineRule="auto"/>
        <w:ind w:firstLine="420" w:firstLineChars="200"/>
        <w:jc w:val="left"/>
        <w:rPr>
          <w:rFonts w:eastAsia="楷体"/>
        </w:rPr>
      </w:pPr>
      <w:r>
        <w:rPr>
          <w:rFonts w:hint="eastAsia" w:eastAsia="楷体"/>
        </w:rPr>
        <w:t>在“一带一路”以及“澜湄合作”倡议下，缅甸成为“一带一路”在西南方向实施的关键节点，中缅合作也迎来诸多机遇。伊洛瓦底江三角洲是缅甸的粮食主产区，其农业生产的高效发展对于缅甸粮食安全、经济发展、民生福祉意义重大。合理的土地利用规划是提高农业生产效率、优化农业生产布局的重要基础。表1示意伊洛瓦底江三角洲地区1990—2020年各土地利用类型面积变化。</w:t>
      </w:r>
    </w:p>
    <w:tbl>
      <w:tblPr>
        <w:tblStyle w:val="6"/>
        <w:tblW w:w="4667" w:type="pct"/>
        <w:tblInd w:w="0" w:type="dxa"/>
        <w:tblLayout w:type="autofit"/>
        <w:tblCellMar>
          <w:top w:w="0" w:type="dxa"/>
          <w:left w:w="108" w:type="dxa"/>
          <w:bottom w:w="0" w:type="dxa"/>
          <w:right w:w="108" w:type="dxa"/>
        </w:tblCellMar>
      </w:tblPr>
      <w:tblGrid>
        <w:gridCol w:w="2821"/>
        <w:gridCol w:w="1683"/>
        <w:gridCol w:w="1670"/>
        <w:gridCol w:w="1675"/>
        <w:gridCol w:w="1666"/>
      </w:tblGrid>
      <w:tr>
        <w:tblPrEx>
          <w:tblCellMar>
            <w:top w:w="0" w:type="dxa"/>
            <w:left w:w="108" w:type="dxa"/>
            <w:bottom w:w="0" w:type="dxa"/>
            <w:right w:w="108" w:type="dxa"/>
          </w:tblCellMar>
        </w:tblPrEx>
        <w:trPr>
          <w:trHeight w:val="694" w:hRule="atLeast"/>
        </w:trPr>
        <w:tc>
          <w:tcPr>
            <w:tcW w:w="1482" w:type="pct"/>
            <w:tcBorders>
              <w:top w:val="single" w:color="000000" w:sz="4" w:space="0"/>
              <w:left w:val="single" w:color="000000" w:sz="4" w:space="0"/>
              <w:bottom w:val="single" w:color="000000" w:sz="4" w:space="0"/>
              <w:right w:val="single" w:color="000000" w:sz="4" w:space="0"/>
              <w:tl2br w:val="single" w:color="000000" w:sz="4" w:space="0"/>
            </w:tcBorders>
            <w:shd w:val="clear" w:color="auto" w:fill="auto"/>
            <w:vAlign w:val="center"/>
          </w:tcPr>
          <w:p>
            <w:pPr>
              <w:spacing w:line="288" w:lineRule="auto"/>
              <w:ind w:firstLine="1470" w:firstLineChars="700"/>
            </w:pPr>
            <w:r>
              <w:t>面积</w:t>
            </w:r>
            <w:r>
              <w:rPr>
                <w:rFonts w:hint="eastAsia"/>
              </w:rPr>
              <w:t>（</w:t>
            </w:r>
            <w:r>
              <w:t>km</w:t>
            </w:r>
            <w:r>
              <w:rPr>
                <w:rFonts w:hint="eastAsia"/>
                <w:vertAlign w:val="superscript"/>
              </w:rPr>
              <w:t>2</w:t>
            </w:r>
            <w:r>
              <w:rPr>
                <w:rFonts w:hint="eastAsia"/>
              </w:rPr>
              <w:t>）</w:t>
            </w:r>
          </w:p>
          <w:p>
            <w:pPr>
              <w:spacing w:line="288" w:lineRule="auto"/>
            </w:pPr>
            <w:r>
              <w:t>土地利用类型</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center"/>
            </w:pPr>
            <w:r>
              <w:t>1990年</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center"/>
            </w:pPr>
            <w:r>
              <w:t>2000年</w:t>
            </w:r>
          </w:p>
        </w:tc>
        <w:tc>
          <w:tcPr>
            <w:tcW w:w="88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center"/>
            </w:pPr>
            <w:r>
              <w:t>2010年</w:t>
            </w:r>
          </w:p>
        </w:tc>
        <w:tc>
          <w:tcPr>
            <w:tcW w:w="87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center"/>
            </w:pPr>
            <w:r>
              <w:t>2020年</w:t>
            </w:r>
          </w:p>
        </w:tc>
      </w:tr>
      <w:tr>
        <w:tblPrEx>
          <w:tblCellMar>
            <w:top w:w="0" w:type="dxa"/>
            <w:left w:w="108" w:type="dxa"/>
            <w:bottom w:w="0" w:type="dxa"/>
            <w:right w:w="108" w:type="dxa"/>
          </w:tblCellMar>
        </w:tblPrEx>
        <w:trPr>
          <w:trHeight w:val="355" w:hRule="atLeast"/>
        </w:trPr>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center"/>
            </w:pPr>
            <w:r>
              <w:t>耕地</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center"/>
            </w:pPr>
            <w:r>
              <w:t>22585.15</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center"/>
            </w:pPr>
            <w:r>
              <w:t>22948.09</w:t>
            </w:r>
          </w:p>
        </w:tc>
        <w:tc>
          <w:tcPr>
            <w:tcW w:w="88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center"/>
            </w:pPr>
            <w:r>
              <w:t>20768.16</w:t>
            </w:r>
          </w:p>
        </w:tc>
        <w:tc>
          <w:tcPr>
            <w:tcW w:w="87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center"/>
            </w:pPr>
            <w:r>
              <w:t>20948.52</w:t>
            </w:r>
          </w:p>
        </w:tc>
      </w:tr>
      <w:tr>
        <w:tblPrEx>
          <w:tblCellMar>
            <w:top w:w="0" w:type="dxa"/>
            <w:left w:w="108" w:type="dxa"/>
            <w:bottom w:w="0" w:type="dxa"/>
            <w:right w:w="108" w:type="dxa"/>
          </w:tblCellMar>
        </w:tblPrEx>
        <w:trPr>
          <w:trHeight w:val="355" w:hRule="atLeast"/>
        </w:trPr>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center"/>
            </w:pPr>
            <w:r>
              <w:t>林地</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center"/>
            </w:pPr>
            <w:r>
              <w:t>2021.23</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center"/>
            </w:pPr>
            <w:r>
              <w:t>1537.26</w:t>
            </w:r>
          </w:p>
        </w:tc>
        <w:tc>
          <w:tcPr>
            <w:tcW w:w="88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center"/>
            </w:pPr>
            <w:r>
              <w:t>2202.71</w:t>
            </w:r>
          </w:p>
        </w:tc>
        <w:tc>
          <w:tcPr>
            <w:tcW w:w="87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center"/>
            </w:pPr>
            <w:r>
              <w:t>1984</w:t>
            </w:r>
          </w:p>
        </w:tc>
      </w:tr>
      <w:tr>
        <w:tblPrEx>
          <w:tblCellMar>
            <w:top w:w="0" w:type="dxa"/>
            <w:left w:w="108" w:type="dxa"/>
            <w:bottom w:w="0" w:type="dxa"/>
            <w:right w:w="108" w:type="dxa"/>
          </w:tblCellMar>
        </w:tblPrEx>
        <w:trPr>
          <w:trHeight w:val="355" w:hRule="atLeast"/>
        </w:trPr>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center"/>
            </w:pPr>
            <w:r>
              <w:t>草地</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center"/>
            </w:pPr>
            <w:r>
              <w:t>0.09</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center"/>
            </w:pPr>
            <w:r>
              <w:t>2.08</w:t>
            </w:r>
          </w:p>
        </w:tc>
        <w:tc>
          <w:tcPr>
            <w:tcW w:w="88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center"/>
            </w:pPr>
            <w:r>
              <w:t>618.05</w:t>
            </w:r>
          </w:p>
        </w:tc>
        <w:tc>
          <w:tcPr>
            <w:tcW w:w="87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center"/>
            </w:pPr>
            <w:r>
              <w:t>630.63</w:t>
            </w:r>
          </w:p>
        </w:tc>
      </w:tr>
      <w:tr>
        <w:tblPrEx>
          <w:tblCellMar>
            <w:top w:w="0" w:type="dxa"/>
            <w:left w:w="108" w:type="dxa"/>
            <w:bottom w:w="0" w:type="dxa"/>
            <w:right w:w="108" w:type="dxa"/>
          </w:tblCellMar>
        </w:tblPrEx>
        <w:trPr>
          <w:trHeight w:val="355" w:hRule="atLeast"/>
        </w:trPr>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center"/>
            </w:pPr>
            <w:r>
              <w:t>水域</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center"/>
            </w:pPr>
            <w:r>
              <w:t>1147.05</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center"/>
            </w:pPr>
            <w:r>
              <w:t>1035.92</w:t>
            </w:r>
          </w:p>
        </w:tc>
        <w:tc>
          <w:tcPr>
            <w:tcW w:w="88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center"/>
            </w:pPr>
            <w:r>
              <w:t>1241.78</w:t>
            </w:r>
          </w:p>
        </w:tc>
        <w:tc>
          <w:tcPr>
            <w:tcW w:w="87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center"/>
            </w:pPr>
            <w:r>
              <w:t>991.11</w:t>
            </w:r>
          </w:p>
        </w:tc>
      </w:tr>
      <w:tr>
        <w:tblPrEx>
          <w:tblCellMar>
            <w:top w:w="0" w:type="dxa"/>
            <w:left w:w="108" w:type="dxa"/>
            <w:bottom w:w="0" w:type="dxa"/>
            <w:right w:w="108" w:type="dxa"/>
          </w:tblCellMar>
        </w:tblPrEx>
        <w:trPr>
          <w:trHeight w:val="355" w:hRule="atLeast"/>
        </w:trPr>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center"/>
            </w:pPr>
            <w:r>
              <w:t>建设用地</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center"/>
            </w:pPr>
            <w:r>
              <w:t>405.96</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center"/>
            </w:pPr>
            <w:r>
              <w:t>415.65</w:t>
            </w:r>
          </w:p>
        </w:tc>
        <w:tc>
          <w:tcPr>
            <w:tcW w:w="88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center"/>
            </w:pPr>
            <w:r>
              <w:t>787.32</w:t>
            </w:r>
          </w:p>
        </w:tc>
        <w:tc>
          <w:tcPr>
            <w:tcW w:w="87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center"/>
            </w:pPr>
            <w:r>
              <w:t>1017.58</w:t>
            </w:r>
          </w:p>
        </w:tc>
      </w:tr>
      <w:tr>
        <w:tblPrEx>
          <w:tblCellMar>
            <w:top w:w="0" w:type="dxa"/>
            <w:left w:w="108" w:type="dxa"/>
            <w:bottom w:w="0" w:type="dxa"/>
            <w:right w:w="108" w:type="dxa"/>
          </w:tblCellMar>
        </w:tblPrEx>
        <w:trPr>
          <w:trHeight w:val="355" w:hRule="atLeast"/>
        </w:trPr>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center"/>
            </w:pPr>
            <w:r>
              <w:t>未利用地</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center"/>
            </w:pPr>
            <w:r>
              <w:t>8.77</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center"/>
            </w:pPr>
            <w:r>
              <w:t>229.25</w:t>
            </w:r>
          </w:p>
        </w:tc>
        <w:tc>
          <w:tcPr>
            <w:tcW w:w="88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center"/>
            </w:pPr>
            <w:r>
              <w:t>550.23</w:t>
            </w:r>
          </w:p>
        </w:tc>
        <w:tc>
          <w:tcPr>
            <w:tcW w:w="87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center"/>
            </w:pPr>
            <w:r>
              <w:t>596.41</w:t>
            </w:r>
          </w:p>
        </w:tc>
      </w:tr>
      <w:tr>
        <w:tblPrEx>
          <w:tblCellMar>
            <w:top w:w="0" w:type="dxa"/>
            <w:left w:w="108" w:type="dxa"/>
            <w:bottom w:w="0" w:type="dxa"/>
            <w:right w:w="108" w:type="dxa"/>
          </w:tblCellMar>
        </w:tblPrEx>
        <w:trPr>
          <w:trHeight w:val="375" w:hRule="atLeast"/>
        </w:trPr>
        <w:tc>
          <w:tcPr>
            <w:tcW w:w="1482"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center"/>
            </w:pPr>
            <w:r>
              <w:t>总计</w:t>
            </w:r>
          </w:p>
        </w:tc>
        <w:tc>
          <w:tcPr>
            <w:tcW w:w="884"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center"/>
            </w:pPr>
            <w:r>
              <w:t>26168.25</w:t>
            </w:r>
          </w:p>
        </w:tc>
        <w:tc>
          <w:tcPr>
            <w:tcW w:w="877"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center"/>
            </w:pPr>
            <w:r>
              <w:t>26168.25</w:t>
            </w:r>
          </w:p>
        </w:tc>
        <w:tc>
          <w:tcPr>
            <w:tcW w:w="880"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center"/>
            </w:pPr>
            <w:r>
              <w:t>26168.25</w:t>
            </w:r>
          </w:p>
        </w:tc>
        <w:tc>
          <w:tcPr>
            <w:tcW w:w="875" w:type="pct"/>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88" w:lineRule="auto"/>
              <w:jc w:val="center"/>
            </w:pPr>
            <w:r>
              <w:t>26168.25</w:t>
            </w:r>
          </w:p>
        </w:tc>
      </w:tr>
    </w:tbl>
    <w:p>
      <w:pPr>
        <w:spacing w:line="288" w:lineRule="auto"/>
        <w:jc w:val="left"/>
      </w:pPr>
      <w:r>
        <w:rPr>
          <w:rFonts w:hint="eastAsia"/>
        </w:rPr>
        <w:t>（1）描述1990—2020年伊洛瓦底江三角洲土地利用的特点及变化。（7分）</w:t>
      </w:r>
    </w:p>
    <w:p>
      <w:pPr>
        <w:spacing w:line="288" w:lineRule="auto"/>
        <w:jc w:val="left"/>
      </w:pPr>
      <w:r>
        <w:rPr>
          <w:rFonts w:hint="eastAsia"/>
        </w:rPr>
        <w:t>（2）从粮食安全的角度，请对伊洛瓦底江三角洲耕地利用提出合理化建议。（3分）</w:t>
      </w:r>
    </w:p>
    <w:p>
      <w:pPr>
        <w:spacing w:line="288" w:lineRule="auto"/>
        <w:jc w:val="left"/>
      </w:pPr>
      <w:r>
        <w:rPr>
          <w:rFonts w:hint="eastAsia"/>
        </w:rPr>
        <w:t>29.阅读图文材料，完成下列要求。（10分）</w:t>
      </w:r>
    </w:p>
    <w:p>
      <w:pPr>
        <w:spacing w:line="288" w:lineRule="auto"/>
        <w:ind w:firstLine="420" w:firstLineChars="200"/>
        <w:jc w:val="left"/>
        <w:rPr>
          <w:rFonts w:eastAsia="楷体"/>
        </w:rPr>
      </w:pPr>
      <w:r>
        <w:rPr>
          <w:rFonts w:hint="eastAsia" w:eastAsia="楷体"/>
        </w:rPr>
        <w:t>哈萨克斯坦是世界上最大的内陆国，为温带大陆性气候。作为“一带一路”的重点项目，由中国政府援建、中信建设有限责任公司承建的哈萨克斯坦5兆瓦风能电站于2018年12月1日开始并网发电。该风能发电站位于阿拉木图州的马萨克农业区，将为哈萨克斯坦普及和推广清洁能源发挥积极作用。图15示意哈萨克斯坦阿拉木图地理位置。</w:t>
      </w:r>
    </w:p>
    <w:p>
      <w:pPr>
        <w:spacing w:line="288" w:lineRule="auto"/>
        <w:jc w:val="left"/>
      </w:pPr>
      <w:r>
        <w:drawing>
          <wp:inline distT="0" distB="0" distL="114300" distR="114300">
            <wp:extent cx="4495800" cy="2162175"/>
            <wp:effectExtent l="0" t="0" r="0" b="9525"/>
            <wp:docPr id="20"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pic:cNvPicPr>
                      <a:picLocks noChangeAspect="1"/>
                    </pic:cNvPicPr>
                  </pic:nvPicPr>
                  <pic:blipFill>
                    <a:blip r:embed="rId17">
                      <a:lum contrast="12000"/>
                    </a:blip>
                    <a:stretch>
                      <a:fillRect/>
                    </a:stretch>
                  </pic:blipFill>
                  <pic:spPr>
                    <a:xfrm>
                      <a:off x="0" y="0"/>
                      <a:ext cx="4495800" cy="2162175"/>
                    </a:xfrm>
                    <a:prstGeom prst="rect">
                      <a:avLst/>
                    </a:prstGeom>
                    <a:noFill/>
                    <a:ln>
                      <a:noFill/>
                    </a:ln>
                  </pic:spPr>
                </pic:pic>
              </a:graphicData>
            </a:graphic>
          </wp:inline>
        </w:drawing>
      </w:r>
    </w:p>
    <w:p>
      <w:pPr>
        <w:spacing w:line="288" w:lineRule="auto"/>
        <w:ind w:firstLine="2940" w:firstLineChars="1400"/>
        <w:jc w:val="left"/>
      </w:pPr>
      <w:r>
        <w:rPr>
          <w:rFonts w:hint="eastAsia"/>
        </w:rPr>
        <w:t>图15</w:t>
      </w:r>
    </w:p>
    <w:p>
      <w:pPr>
        <w:spacing w:line="288" w:lineRule="auto"/>
        <w:jc w:val="left"/>
      </w:pPr>
      <w:r>
        <w:rPr>
          <w:rFonts w:hint="eastAsia"/>
        </w:rPr>
        <w:t>（1）阐述建设阿拉木图风能发电站对当地社会经济带来的有利影响。（6分）</w:t>
      </w:r>
    </w:p>
    <w:p>
      <w:pPr>
        <w:spacing w:line="288" w:lineRule="auto"/>
        <w:jc w:val="left"/>
      </w:pPr>
      <w:r>
        <w:rPr>
          <w:rFonts w:hint="eastAsia"/>
        </w:rPr>
        <w:t>（2）指出哈萨克斯坦除风能外还可以利用另一种清洁能源并说明理由。（4分）</w:t>
      </w:r>
    </w:p>
    <w:p>
      <w:pPr>
        <w:spacing w:line="288" w:lineRule="auto"/>
        <w:jc w:val="center"/>
      </w:pPr>
    </w:p>
    <w:p>
      <w:pPr>
        <w:spacing w:line="288" w:lineRule="auto"/>
        <w:jc w:val="center"/>
        <w:rPr>
          <w:rFonts w:hint="eastAsia"/>
          <w:b/>
          <w:bCs/>
          <w:sz w:val="24"/>
          <w:szCs w:val="32"/>
        </w:rPr>
        <w:sectPr>
          <w:pgSz w:w="11906" w:h="16838"/>
          <w:pgMar w:top="1304" w:right="964" w:bottom="1304" w:left="964" w:header="153" w:footer="0" w:gutter="0"/>
          <w:cols w:space="720" w:num="1"/>
          <w:docGrid w:type="lines" w:linePitch="312" w:charSpace="0"/>
        </w:sectPr>
      </w:pPr>
    </w:p>
    <w:p>
      <w:pPr>
        <w:spacing w:line="288" w:lineRule="auto"/>
        <w:jc w:val="center"/>
        <w:rPr>
          <w:b/>
          <w:bCs/>
          <w:sz w:val="24"/>
          <w:szCs w:val="32"/>
        </w:rPr>
      </w:pPr>
      <w:r>
        <w:rPr>
          <w:rFonts w:hint="eastAsia"/>
          <w:b/>
          <w:bCs/>
          <w:sz w:val="24"/>
          <w:szCs w:val="32"/>
        </w:rPr>
        <w:t>24届高三年级TOP二十名校调研考试八·地理</w:t>
      </w:r>
    </w:p>
    <w:p>
      <w:pPr>
        <w:spacing w:line="288" w:lineRule="auto"/>
        <w:jc w:val="center"/>
        <w:rPr>
          <w:b/>
          <w:bCs/>
          <w:sz w:val="24"/>
          <w:szCs w:val="32"/>
        </w:rPr>
      </w:pPr>
      <w:r>
        <w:rPr>
          <w:rFonts w:hint="eastAsia"/>
          <w:b/>
          <w:bCs/>
          <w:sz w:val="24"/>
          <w:szCs w:val="32"/>
        </w:rPr>
        <w:t>参考答案、提示及评分细则</w:t>
      </w:r>
    </w:p>
    <w:p>
      <w:pPr>
        <w:spacing w:line="288" w:lineRule="auto"/>
        <w:jc w:val="left"/>
      </w:pPr>
      <w:r>
        <w:rPr>
          <w:rFonts w:hint="eastAsia"/>
        </w:rPr>
        <w:t>1.B结合材料可知，智利的北部山区、西班牙的加纳利群岛等观测台位于西半球，冷湖赛什腾山天文观测台建成后可以更好地观测东半球天空，填补了国际级天文台址的“空白区”，B项正确；冷湖赛什腾山天文观测台位于北半球，不能观测到南半球天空，A项错误；天文观测台的选址一般都位于高海拔地区，C项错误；白天观测时间受季节和纬度限制，无法确定，D项错误。故选B项。</w:t>
      </w:r>
    </w:p>
    <w:p>
      <w:pPr>
        <w:spacing w:line="288" w:lineRule="auto"/>
        <w:jc w:val="left"/>
      </w:pPr>
      <w:r>
        <w:rPr>
          <w:rFonts w:hint="eastAsia"/>
        </w:rPr>
        <w:t>2.A结合所学知识可知，西班牙加那利群岛四周为海洋，冷湖地处我国西北内陆地区，冷湖赛什腾山天文观测台受海洋水汽影响更小，A项正确；西班牙加那利群岛纬度位置比冷湖更低，冬季白天观测时间比冷湖赛什腾山天文观测台更长，D项错误；两者的对外交通条件均不便利，受人类活动影响都较小，BC错误。故选A项。</w:t>
      </w:r>
    </w:p>
    <w:p>
      <w:pPr>
        <w:spacing w:line="288" w:lineRule="auto"/>
        <w:jc w:val="left"/>
      </w:pPr>
      <w:r>
        <w:rPr>
          <w:rFonts w:hint="eastAsia"/>
        </w:rPr>
        <w:t>3.C结合材料和读图可知，冷湖赛什腾山天文观测台我国青藏高原柴达木盆地西北边缘，周边沙漠广布，吹起的沙尘暴会降低能见度，影响观测，C项正确；该地区位于板块内部，地震较少，A项错误；受山脉阻挡，该地区受寒潮影响较小，B项错误；该地区气候干旱，降水较少，泥石流出现频率较低，D项错误。故选C项。</w:t>
      </w:r>
    </w:p>
    <w:p>
      <w:pPr>
        <w:spacing w:line="288" w:lineRule="auto"/>
        <w:jc w:val="left"/>
      </w:pPr>
      <w:r>
        <w:rPr>
          <w:rFonts w:hint="eastAsia"/>
        </w:rPr>
        <w:t>4.A读图可知，年太阳辐射总量北海在1300—1350之间，融安在1150—1100之间；百色在1300—1350之间，凌云在1200—1250之间；南宁在1250—1300之间，梧州为1300；柳州在1200—1250之间，河池在1100—1150之间；因此年太阳辐射总量差异最大的一组城市是北海与融安，故选A项。</w:t>
      </w:r>
    </w:p>
    <w:p>
      <w:pPr>
        <w:spacing w:line="288" w:lineRule="auto"/>
        <w:jc w:val="left"/>
      </w:pPr>
      <w:r>
        <w:rPr>
          <w:rFonts w:hint="eastAsia"/>
        </w:rPr>
        <w:t>5.B读图可知，广西壮族自治区年太阳辐射总量大致从南向北降低，导致广西壮族自治区年太阳辐射总量分布差异的主要影响因素是纬度位置，故选B项。</w:t>
      </w:r>
    </w:p>
    <w:p>
      <w:pPr>
        <w:spacing w:line="288" w:lineRule="auto"/>
        <w:jc w:val="left"/>
      </w:pPr>
      <w:r>
        <w:rPr>
          <w:rFonts w:hint="eastAsia"/>
        </w:rPr>
        <w:t>6.D根据所学知识可知，在保证光伏板与太阳光线垂直的条件下，光伏板与地面的夹角和正午太阳高度角为</w:t>
      </w:r>
    </w:p>
    <w:p>
      <w:pPr>
        <w:spacing w:line="288" w:lineRule="auto"/>
        <w:jc w:val="left"/>
      </w:pPr>
      <w:r>
        <w:rPr>
          <w:rFonts w:hint="eastAsia"/>
        </w:rPr>
        <w:t>互余的关系，融安的纬度最高，夏至日正午太阳高度角最小，则光伏板与地面的夹角最大，故选D项。</w:t>
      </w:r>
    </w:p>
    <w:p>
      <w:pPr>
        <w:spacing w:line="288" w:lineRule="auto"/>
        <w:jc w:val="left"/>
      </w:pPr>
      <w:r>
        <w:rPr>
          <w:rFonts w:hint="eastAsia"/>
        </w:rPr>
        <w:t>7.C读图可知，云南省传统村落在陡坡降水多的地区数量少，A错误；随着坡度的增加数量逐渐减少，B错误；受河网密度的影响差异最小，C正确；在温度和海拔居中的地区数量多，D错误。故选C项。</w:t>
      </w:r>
    </w:p>
    <w:p>
      <w:pPr>
        <w:spacing w:line="288" w:lineRule="auto"/>
        <w:jc w:val="left"/>
      </w:pPr>
      <w:r>
        <w:rPr>
          <w:rFonts w:hint="eastAsia"/>
        </w:rPr>
        <w:t>8.D读图可知，对云南省传统村落分布影响最大的自然因素是植被覆盖度，有90%以上的传统村落坐落于植被覆盖度高的区域。故选D项。</w:t>
      </w:r>
    </w:p>
    <w:p>
      <w:pPr>
        <w:spacing w:line="288" w:lineRule="auto"/>
        <w:jc w:val="left"/>
      </w:pPr>
      <w:r>
        <w:rPr>
          <w:rFonts w:hint="eastAsia"/>
        </w:rPr>
        <w:t>9.B读图可知，2020年山西省碳排放强度较高的区域是以太原为中心的山西中部城市群。故选B项。</w:t>
      </w:r>
    </w:p>
    <w:p>
      <w:pPr>
        <w:spacing w:line="288" w:lineRule="auto"/>
        <w:jc w:val="left"/>
      </w:pPr>
      <w:r>
        <w:rPr>
          <w:rFonts w:hint="eastAsia"/>
        </w:rPr>
        <w:t>10.B结合所学知识可知，太原市经济发展水平和城镇化水平较高，人口规模较大，碳排放量和强度较大；大同市、阳泉市、长治市由于以煤炭产业为主，碳排放量和强度也较大。故选B项。</w:t>
      </w:r>
    </w:p>
    <w:p>
      <w:pPr>
        <w:spacing w:line="288" w:lineRule="auto"/>
        <w:jc w:val="left"/>
      </w:pPr>
      <w:r>
        <w:rPr>
          <w:rFonts w:hint="eastAsia"/>
        </w:rPr>
        <w:t>11.B根据图中信息可推断出该湖泊为里海，是世界上最大的内陆湖泊，为咸水湖，A项错误；北部有伏尔加河和乌拉尔河注入，导致盐度北低南高，B项正确；图中湖泊北部等高线稀疏，地势起伏较小，湖床海拔高度较高，湖水较浅，南部等高线密集，地势起伏大，湖床海拔高度低，湖水较深，C项错误；该地纬度较高，属于温带地区，湖泊冬季结冰，D项错误。故选B项。</w:t>
      </w:r>
    </w:p>
    <w:p>
      <w:pPr>
        <w:spacing w:line="288" w:lineRule="auto"/>
        <w:jc w:val="left"/>
      </w:pPr>
      <w:r>
        <w:rPr>
          <w:rFonts w:hint="eastAsia"/>
        </w:rPr>
        <w:t>12.D湖泊周围地区以温带大陆性气候为主，降水较少，淡水注入少而蒸发大，湖水盐度较高，所以不适宜围湖造田，引湖水灌溉，A项错误；1929年—1970年，流域年平均降水量和年平均蒸发量变化较小，BC错误；伏尔加河、乌拉尔河流域被大规模开垦，农业灌溉用水增加，引河水灌溉，导致入湖径流量减少，导致湖水位下降，面积萎缩，D项正确。故选D项。</w:t>
      </w:r>
    </w:p>
    <w:p>
      <w:pPr>
        <w:spacing w:line="288" w:lineRule="auto"/>
        <w:jc w:val="left"/>
      </w:pPr>
      <w:r>
        <w:rPr>
          <w:rFonts w:hint="eastAsia"/>
        </w:rPr>
        <w:t>13.A结合所学知识可知，沙丘（沙峰）的迎风坡一侧为缓坡，读图可知，必鲁图沙峰的迎风坡朝向为西北方向，故选A项。</w:t>
      </w:r>
    </w:p>
    <w:p>
      <w:pPr>
        <w:spacing w:line="288" w:lineRule="auto"/>
        <w:jc w:val="left"/>
      </w:pPr>
      <w:r>
        <w:rPr>
          <w:rFonts w:hint="eastAsia"/>
        </w:rPr>
        <w:t>14.C巴丹吉林沙漠位于我国西北地区，降水较少，A项错误；必鲁图沙峰上不会有季节性积雪和冰川存在，BD项错误；根据图中的含水层可以推测必鲁图沙峰两侧湖泊的主要补给为地下水，C项正确。故选C项。</w:t>
      </w:r>
    </w:p>
    <w:p>
      <w:pPr>
        <w:spacing w:line="288" w:lineRule="auto"/>
        <w:jc w:val="left"/>
      </w:pPr>
      <w:r>
        <w:rPr>
          <w:rFonts w:hint="eastAsia"/>
        </w:rPr>
        <w:t>15.C读图结合材料可知，撒丁岛沿海的球状岩石为花岗岩球状风化地貌，图9中的甲为沉积岩，乙为变质岩，丙为岩浆，丁为侵入岩，戊为喷出岩。故选C项。</w:t>
      </w:r>
    </w:p>
    <w:p>
      <w:pPr>
        <w:spacing w:line="288" w:lineRule="auto"/>
        <w:jc w:val="left"/>
      </w:pPr>
      <w:r>
        <w:rPr>
          <w:rFonts w:hint="eastAsia"/>
        </w:rPr>
        <w:t>16.A结合上题可知，撒丁岛沿海球状岩石类型为花岗岩，属于岩浆岩中的侵入岩，图9中序号代表的地质作用：①为冷却凝固，②③④为外力作用，⑤为变质作用，⑥为重熔再生。故选A项。</w:t>
      </w:r>
    </w:p>
    <w:p>
      <w:pPr>
        <w:spacing w:line="288" w:lineRule="auto"/>
        <w:jc w:val="left"/>
      </w:pPr>
      <w:r>
        <w:rPr>
          <w:rFonts w:hint="eastAsia"/>
        </w:rPr>
        <w:t>17.D地下深处炽热的岩浆上升侵入地下岩层裂隙，冷却凝固后形成侵入岩，然后随着地壳抬升，上升到接近地表，进一步受到外力的风化作用，破坏了岩石，然后在海水的侵蚀作用下形成了撒丁岛沿海的球状岩石。故选D项。</w:t>
      </w:r>
    </w:p>
    <w:p>
      <w:pPr>
        <w:spacing w:line="288" w:lineRule="auto"/>
        <w:jc w:val="left"/>
      </w:pPr>
      <w:r>
        <w:rPr>
          <w:rFonts w:hint="eastAsia"/>
        </w:rPr>
        <w:t>18.B神舟十六号飞船发射成功时为北京时间（东八区）2023年5月30日9时31分，纽约位于西五区，与东八区相差13个时区，即相差13个小时，比北京时间晚13个小时，因此远在纽约（40°43'N，74°W）留学的小明观看神舟十三号飞船发射直播，开始时间是当地2023年5月29日20时31分。故选B项。</w:t>
      </w:r>
    </w:p>
    <w:p>
      <w:pPr>
        <w:spacing w:line="288" w:lineRule="auto"/>
        <w:jc w:val="left"/>
      </w:pPr>
      <w:r>
        <w:rPr>
          <w:rFonts w:hint="eastAsia"/>
        </w:rPr>
        <w:t>19.A神舟十六号载人飞船发射成功至中国空间站第四次太空授课期间，日期大致为5月30日至9月21日，太阳直射点位于北半球，大部分日期为北半球的夏季，因此非洲热带草原的动物向北迁移，A项正确；南非开普敦为南半球地中海气候，此期间正值东半年，受西风带控制，降水多，森林火险等级降低，B项错误；此期间正值北半球的夏半年，太阳直射点先向北再向南移动，华盛顿白昼时间先变长再变短，北京的正午太阳高度角先变大后变小，C、D项错误。故选A项。</w:t>
      </w:r>
    </w:p>
    <w:p>
      <w:pPr>
        <w:spacing w:line="288" w:lineRule="auto"/>
        <w:jc w:val="left"/>
      </w:pPr>
      <w:r>
        <w:rPr>
          <w:rFonts w:hint="eastAsia"/>
        </w:rPr>
        <w:t>20.B神舟十六号载人飞船发射为北京时间2023年5月30日，距离夏至日之前大约22天，每两个节气之间间隔大致15天，因此当日最接近芒种。故选B项。</w:t>
      </w:r>
    </w:p>
    <w:p>
      <w:pPr>
        <w:spacing w:line="288" w:lineRule="auto"/>
        <w:jc w:val="left"/>
      </w:pPr>
      <w:r>
        <w:rPr>
          <w:rFonts w:hint="eastAsia"/>
        </w:rPr>
        <w:t>21.D读图可知，秘鲁“东水西调”工程穿越安第斯山脉，地质条件复杂，工程建设难度较大，D项正确；秘鲁政府提供资金支持，施工技术比较成熟，B、C选项错误；秘鲁沿海地区主要为热带沙漠气候，A项错误。故选D项。</w:t>
      </w:r>
    </w:p>
    <w:p>
      <w:pPr>
        <w:spacing w:line="288" w:lineRule="auto"/>
        <w:jc w:val="left"/>
      </w:pPr>
      <w:r>
        <w:rPr>
          <w:rFonts w:hint="eastAsia"/>
        </w:rPr>
        <w:t>22.A秘鲁“东水西调”工程可以缓解利马水资源紧张状况，减少对地下水的开采，有效缓解城市地面的沉降，A项正确；沿海地区的渔获量与秘鲁寒流有关，B项错误；利马为秘鲁首都，城市等级不会发生变化，C项错误；利马的降水量不会明显增加，D项错误。故选A项。</w:t>
      </w:r>
    </w:p>
    <w:p>
      <w:pPr>
        <w:spacing w:line="288" w:lineRule="auto"/>
        <w:jc w:val="left"/>
      </w:pPr>
      <w:r>
        <w:rPr>
          <w:rFonts w:hint="eastAsia"/>
        </w:rPr>
        <w:t>23.C铁路运输运费比海运高，安全性更高，海上有风浪，海盗等不安全因素，A项错误；铁路运输比航空运费便宜，但效率没航空高，B项错误；公路运输的灵活性最强，但长途运输的运费高，C项正确；管道运输适合运输气体和液体，铁路运输的货物样式更多，但占地比管道运输多，D项错误。故选C项。</w:t>
      </w:r>
    </w:p>
    <w:p>
      <w:pPr>
        <w:spacing w:line="288" w:lineRule="auto"/>
        <w:jc w:val="left"/>
      </w:pPr>
      <w:r>
        <w:rPr>
          <w:rFonts w:hint="eastAsia"/>
        </w:rPr>
        <w:t>24.D “渝新欧”中欧班列途径国家经济水平差距较大，A项错误；“渝新欧”中欧班列大致为东西走向，体现的是经度地带性，纬度地带性差异不显著，B项错误；沿线经过的地形区有高原、盆地、平原，地形较为复杂，C项错误；沿线经度地带性差异显著，自然带植被呈现出森林—草原—荒漠—草原—森林的变化，D项正确。故选D项。</w:t>
      </w:r>
    </w:p>
    <w:p>
      <w:pPr>
        <w:spacing w:line="288" w:lineRule="auto"/>
        <w:jc w:val="left"/>
      </w:pPr>
      <w:r>
        <w:rPr>
          <w:rFonts w:hint="eastAsia"/>
        </w:rPr>
        <w:t>25.B读材料可知，“渝新欧”中欧班列从重庆团结村站始发，货物首要是本地出产的IT商品，可以促进贸易量的增加，B项正确；与先进技术引进，人才、信息、科技的交流，旅游业的发展关系较小，ACD错误。故选B项。</w:t>
      </w:r>
    </w:p>
    <w:p>
      <w:pPr>
        <w:spacing w:line="288" w:lineRule="auto"/>
        <w:jc w:val="left"/>
      </w:pPr>
      <w:r>
        <w:rPr>
          <w:rFonts w:hint="eastAsia"/>
        </w:rPr>
        <w:t>26.（1）地处豫东平原，地形平坦，土壤肥沃；靠近河流，灌溉水源充足；位于温带季风气候区，雨热同期，利于辣椒生长；政府政策的支持；便利的铁路和公路等交通运输条件；劳动力等资源丰富。（每点2分，任答4点得8分）</w:t>
      </w:r>
    </w:p>
    <w:p>
      <w:pPr>
        <w:spacing w:line="288" w:lineRule="auto"/>
        <w:jc w:val="left"/>
      </w:pPr>
      <w:r>
        <w:rPr>
          <w:rFonts w:hint="eastAsia"/>
        </w:rPr>
        <w:t>（2）公司以企业化的运作方式，可以规范辣椒种植标准，保障产品质量，拓展销售渠道和市场；基地的建设，有利于形成规模化生产，提高辣椒产量；合作社可以为农户提供资金、辣椒种植技术和经验等方面的支持；减少了中间商赚差价，提高了农户的收益，增加了农户的经济收入；可以延长辣椒产业链，提高产品附加值。（每点2分，任答3点得6分）</w:t>
      </w:r>
    </w:p>
    <w:p>
      <w:pPr>
        <w:spacing w:line="288" w:lineRule="auto"/>
        <w:jc w:val="left"/>
      </w:pPr>
      <w:r>
        <w:rPr>
          <w:rFonts w:hint="eastAsia"/>
        </w:rPr>
        <w:t>解析：（1）读图并结合所学知识，郸城县种植辣椒的区位条件可以从气候、地形、土壤、灌溉水源、交通、市场、政策、劳动力等方面进行描述。</w:t>
      </w:r>
    </w:p>
    <w:p>
      <w:pPr>
        <w:spacing w:line="288" w:lineRule="auto"/>
        <w:jc w:val="left"/>
      </w:pPr>
      <w:r>
        <w:rPr>
          <w:rFonts w:hint="eastAsia"/>
        </w:rPr>
        <w:t>（2）郸城县采取“公司+基地+合作社+农户”的模式对当地辣椒产业发展带来的有利影响可以从以下几个方面说明。公司以企业化的运作方式，可以规范辣椒种植标准，保障产品质量，拓展销售渠道和市场；基地的建设，有利于形成规模化生产，提高辣椒产量；合作社可以为农户提供资金、辣椒种植技术和经验等方面的支持；减少了中间商赚差价，提高了农户的收益，增加了农户的经济收入；可以延长辣椒产业链，提高产品附加值。</w:t>
      </w:r>
    </w:p>
    <w:p>
      <w:pPr>
        <w:spacing w:line="288" w:lineRule="auto"/>
        <w:jc w:val="left"/>
      </w:pPr>
      <w:r>
        <w:rPr>
          <w:rFonts w:hint="eastAsia"/>
        </w:rPr>
        <w:t>27.（1）葡萄种植历史悠久，品质较好；（2分）葡萄酒产业的原料（葡萄）丰富；（2分）政府政策的支持；（2分）葡萄酒的消费市场广阔，知名度高。（2分）</w:t>
      </w:r>
    </w:p>
    <w:p>
      <w:pPr>
        <w:spacing w:line="288" w:lineRule="auto"/>
        <w:jc w:val="left"/>
      </w:pPr>
      <w:r>
        <w:rPr>
          <w:rFonts w:hint="eastAsia"/>
        </w:rPr>
        <w:t>（2）合理布局，发展葡萄规模化集约化种植，提高葡萄的规模效益；发展葡萄深加工，提高产品的附加值；加强葡萄种植与葡萄酒酿造技术推广，提升葡萄和葡萄酒的品质；扶持葡萄酒生产的龙头企业，形成“企业十基地十农户”的发展模式，调动农户积极性；依托当地优势，发展与葡萄和葡萄酒有关的旅游业，打造葡萄酒文化。（每点2分，任答4点得8分，言之有理即可得分）</w:t>
      </w:r>
    </w:p>
    <w:p>
      <w:pPr>
        <w:spacing w:line="288" w:lineRule="auto"/>
        <w:jc w:val="left"/>
      </w:pPr>
      <w:r>
        <w:rPr>
          <w:rFonts w:hint="eastAsia"/>
        </w:rPr>
        <w:t>解析：（1）结合材料可知，乌海市发展葡萄酒产业的区位条件有原料丰富；葡萄的种植历史悠久，品质较好；政府政策支持；葡萄酒的知名度高，消费市场广阔。</w:t>
      </w:r>
    </w:p>
    <w:p>
      <w:pPr>
        <w:spacing w:line="288" w:lineRule="auto"/>
        <w:jc w:val="left"/>
      </w:pPr>
      <w:r>
        <w:rPr>
          <w:rFonts w:hint="eastAsia"/>
        </w:rPr>
        <w:t>（2）为提升乌海葡萄与葡萄酒产业竞争力的可行性措施可以从三次产业分布描述，第一产业：发展葡萄规模化种植，提高规模效益；第二产业：扶持葡萄酒生产的龙头企业，形成“企业+基地十农户”的发展模式；发展葡萄的深加工，提高产品的附加值，延长产业链；第三产业：依托当地优势，发展与葡萄和葡萄酒有关的旅游业，打造葡萄酒文化。</w:t>
      </w:r>
    </w:p>
    <w:p>
      <w:pPr>
        <w:spacing w:line="288" w:lineRule="auto"/>
        <w:jc w:val="left"/>
      </w:pPr>
      <w:r>
        <w:rPr>
          <w:rFonts w:hint="eastAsia"/>
        </w:rPr>
        <w:t>28.（1）特点：土地利用类型多样；（1分）以耕地为主。（1分）</w:t>
      </w:r>
    </w:p>
    <w:p>
      <w:pPr>
        <w:spacing w:line="288" w:lineRule="auto"/>
        <w:jc w:val="left"/>
      </w:pPr>
      <w:r>
        <w:rPr>
          <w:rFonts w:hint="eastAsia"/>
        </w:rPr>
        <w:t>变化：耕地面积先增加后减少再增加；（1分）林地和水域面积先减少后增加再减少；（2分）草地、建设用地和未利用地呈增加的趋势。（2分）</w:t>
      </w:r>
    </w:p>
    <w:p>
      <w:pPr>
        <w:spacing w:line="288" w:lineRule="auto"/>
        <w:jc w:val="left"/>
      </w:pPr>
      <w:r>
        <w:rPr>
          <w:rFonts w:hint="eastAsia"/>
        </w:rPr>
        <w:t>（2）加大科技投入，建设高标准农田，提高粮食产量；明确耕地的用途，防止耕地“非粮化”；制定法律法规，加大监督力度，保护耕地资源；合理控制人口数量，提高人均耕地面积。（每点1分，任答3点得3分，言之有理即可得分）</w:t>
      </w:r>
    </w:p>
    <w:p>
      <w:pPr>
        <w:spacing w:line="288" w:lineRule="auto"/>
        <w:jc w:val="left"/>
      </w:pPr>
      <w:r>
        <w:rPr>
          <w:rFonts w:hint="eastAsia"/>
        </w:rPr>
        <w:t>解析：（1）读图可知，1990—2020年伊洛瓦底江三角洲土地利用的特点是土地利用类型多样，土地利用类型以耕地为主。1990—2020年伊洛瓦底江三角洲土地利用的变化是耕地面积先增加后减少再增加；林地和水域面积先减少后增加再减少；草地、建设用地和未利用地呈增加的趋势。</w:t>
      </w:r>
    </w:p>
    <w:p>
      <w:pPr>
        <w:spacing w:line="288" w:lineRule="auto"/>
        <w:jc w:val="left"/>
      </w:pPr>
      <w:r>
        <w:rPr>
          <w:rFonts w:hint="eastAsia"/>
        </w:rPr>
        <w:t>（2）从粮食安全的角度，提出合理化建议，可以从以下几个方面进行描述。从提高人均耕地面积角度分析，需要合理控制人口数量；政府制定法律法规，加大监督力度，保护耕地面积；政府应明确耕地用途，防止耕地“非粮化”；从提高粮食单产角度分析，应加大科技投入，建设高标准农田。</w:t>
      </w:r>
    </w:p>
    <w:p>
      <w:pPr>
        <w:spacing w:line="288" w:lineRule="auto"/>
        <w:jc w:val="left"/>
      </w:pPr>
      <w:r>
        <w:rPr>
          <w:rFonts w:hint="eastAsia"/>
        </w:rPr>
        <w:t>29.（1）促进当地风能资源开发，将资源优势转化为经济优势；带动清洁能源等相关产业的发展；增加就业岗位，促进当地居民就业；完善当地基础设施，促进城市发展；增加能源供应渠道，缓解能源紧张状况；提高居民收入，带动经济发展。（每点2分，任答3点得6分）</w:t>
      </w:r>
    </w:p>
    <w:p>
      <w:pPr>
        <w:spacing w:line="288" w:lineRule="auto"/>
        <w:jc w:val="left"/>
      </w:pPr>
      <w:r>
        <w:rPr>
          <w:rFonts w:hint="eastAsia"/>
        </w:rPr>
        <w:t>（2）太阳能。（2分）哈萨克斯坦地处亚洲中部，为温带大陆性气候，降水较少，晴天多，光照充足，太阳能资源丰富；（2分）或水能。（2分）哈萨克斯坦东部和南部河流较多，地势东南高，西北地，地势落差大，适合修建水电站。（2分）</w:t>
      </w:r>
    </w:p>
    <w:p>
      <w:pPr>
        <w:spacing w:line="288" w:lineRule="auto"/>
        <w:jc w:val="left"/>
      </w:pPr>
      <w:r>
        <w:rPr>
          <w:rFonts w:hint="eastAsia"/>
        </w:rPr>
        <w:t>解析：（1）建设阿拉木图风能发电站对当地社会经济带来的有利影响有增加就业岗位，促进就业；带动相关产业发展；完善基础设施；开发风能资源，将资源优势转化为经济优势；带动经济发展等方面进行描述。</w:t>
      </w:r>
    </w:p>
    <w:sectPr>
      <w:pgSz w:w="11906" w:h="16838"/>
      <w:pgMar w:top="1304" w:right="964" w:bottom="1304" w:left="964" w:header="153" w:footer="0"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UI">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仿宋">
    <w:panose1 w:val="02010609060101010101"/>
    <w:charset w:val="86"/>
    <w:family w:val="modern"/>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193CFC9"/>
    <w:multiLevelType w:val="singleLevel"/>
    <w:tmpl w:val="6193CFC9"/>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0"/>
  <w:documentProtection w:enforcement="0"/>
  <w:defaultTabStop w:val="2099"/>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g0N2FhYzA3MjAxYmM3MmQwY2NjYWNmNTUwYzg2MzIifQ=="/>
  </w:docVars>
  <w:rsids>
    <w:rsidRoot w:val="00A07DF2"/>
    <w:rsid w:val="00005EBC"/>
    <w:rsid w:val="000460FF"/>
    <w:rsid w:val="00054E7B"/>
    <w:rsid w:val="000E4D02"/>
    <w:rsid w:val="000E4FF1"/>
    <w:rsid w:val="001177F3"/>
    <w:rsid w:val="00171458"/>
    <w:rsid w:val="00173C1D"/>
    <w:rsid w:val="001764C3"/>
    <w:rsid w:val="0018010E"/>
    <w:rsid w:val="00191C29"/>
    <w:rsid w:val="001C63DA"/>
    <w:rsid w:val="001D0C6F"/>
    <w:rsid w:val="00201A7E"/>
    <w:rsid w:val="00204526"/>
    <w:rsid w:val="00221FC9"/>
    <w:rsid w:val="00244CEF"/>
    <w:rsid w:val="002457C2"/>
    <w:rsid w:val="002908F0"/>
    <w:rsid w:val="00294908"/>
    <w:rsid w:val="002A0E5D"/>
    <w:rsid w:val="002A1A21"/>
    <w:rsid w:val="002F06B2"/>
    <w:rsid w:val="003102DB"/>
    <w:rsid w:val="003625C4"/>
    <w:rsid w:val="00373D0A"/>
    <w:rsid w:val="003B1712"/>
    <w:rsid w:val="003C4A95"/>
    <w:rsid w:val="003D0C09"/>
    <w:rsid w:val="004062F6"/>
    <w:rsid w:val="004151FC"/>
    <w:rsid w:val="00430A44"/>
    <w:rsid w:val="00435F83"/>
    <w:rsid w:val="00444A46"/>
    <w:rsid w:val="0046214C"/>
    <w:rsid w:val="0049183B"/>
    <w:rsid w:val="004B44B5"/>
    <w:rsid w:val="004D44FD"/>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16D85"/>
    <w:rsid w:val="00740A09"/>
    <w:rsid w:val="00762E26"/>
    <w:rsid w:val="007706D9"/>
    <w:rsid w:val="008028B5"/>
    <w:rsid w:val="00827C9E"/>
    <w:rsid w:val="00832EC9"/>
    <w:rsid w:val="008634CD"/>
    <w:rsid w:val="008731FA"/>
    <w:rsid w:val="00880A38"/>
    <w:rsid w:val="00884DBC"/>
    <w:rsid w:val="00893DD6"/>
    <w:rsid w:val="008D2E94"/>
    <w:rsid w:val="009121D7"/>
    <w:rsid w:val="00974E0F"/>
    <w:rsid w:val="00982128"/>
    <w:rsid w:val="009A27BF"/>
    <w:rsid w:val="009B5666"/>
    <w:rsid w:val="009C4252"/>
    <w:rsid w:val="00A07DF2"/>
    <w:rsid w:val="00A405DB"/>
    <w:rsid w:val="00A46D54"/>
    <w:rsid w:val="00A536B0"/>
    <w:rsid w:val="00A622CB"/>
    <w:rsid w:val="00AB3EE3"/>
    <w:rsid w:val="00AC275A"/>
    <w:rsid w:val="00AD4827"/>
    <w:rsid w:val="00AD6B6A"/>
    <w:rsid w:val="00B73811"/>
    <w:rsid w:val="00B80D67"/>
    <w:rsid w:val="00B8100F"/>
    <w:rsid w:val="00B96924"/>
    <w:rsid w:val="00BB50C6"/>
    <w:rsid w:val="00C02815"/>
    <w:rsid w:val="00C02FC6"/>
    <w:rsid w:val="00C13493"/>
    <w:rsid w:val="00C321EB"/>
    <w:rsid w:val="00CA2BD2"/>
    <w:rsid w:val="00CA4A07"/>
    <w:rsid w:val="00D51257"/>
    <w:rsid w:val="00D634C2"/>
    <w:rsid w:val="00D756B6"/>
    <w:rsid w:val="00D77F6E"/>
    <w:rsid w:val="00DA0796"/>
    <w:rsid w:val="00DA5448"/>
    <w:rsid w:val="00DB368F"/>
    <w:rsid w:val="00DB6888"/>
    <w:rsid w:val="00DC061C"/>
    <w:rsid w:val="00DF071B"/>
    <w:rsid w:val="00E22C2C"/>
    <w:rsid w:val="00E63075"/>
    <w:rsid w:val="00E97096"/>
    <w:rsid w:val="00EA0188"/>
    <w:rsid w:val="00EB17B4"/>
    <w:rsid w:val="00ED1550"/>
    <w:rsid w:val="00ED4F9A"/>
    <w:rsid w:val="00EE1A37"/>
    <w:rsid w:val="00F21C80"/>
    <w:rsid w:val="00F676FD"/>
    <w:rsid w:val="00F72514"/>
    <w:rsid w:val="00FA0944"/>
    <w:rsid w:val="00FA6947"/>
    <w:rsid w:val="00FB34D2"/>
    <w:rsid w:val="00FB4B17"/>
    <w:rsid w:val="00FC5860"/>
    <w:rsid w:val="00FD377B"/>
    <w:rsid w:val="00FF2D79"/>
    <w:rsid w:val="00FF517A"/>
    <w:rsid w:val="020E31D8"/>
    <w:rsid w:val="0398180C"/>
    <w:rsid w:val="03DA6751"/>
    <w:rsid w:val="05714A5D"/>
    <w:rsid w:val="06035C4C"/>
    <w:rsid w:val="07371C05"/>
    <w:rsid w:val="0750522F"/>
    <w:rsid w:val="07A82CA5"/>
    <w:rsid w:val="08B45806"/>
    <w:rsid w:val="0C3B5F95"/>
    <w:rsid w:val="0CDA12A9"/>
    <w:rsid w:val="0EA0544E"/>
    <w:rsid w:val="11905377"/>
    <w:rsid w:val="19CD46BF"/>
    <w:rsid w:val="1CB57245"/>
    <w:rsid w:val="1E682278"/>
    <w:rsid w:val="1F1C4DCD"/>
    <w:rsid w:val="1F454480"/>
    <w:rsid w:val="1F6D4197"/>
    <w:rsid w:val="21B42F3C"/>
    <w:rsid w:val="26440EE6"/>
    <w:rsid w:val="283B011B"/>
    <w:rsid w:val="2A2D0FE3"/>
    <w:rsid w:val="2C8368FD"/>
    <w:rsid w:val="2EC44599"/>
    <w:rsid w:val="2F4E59BF"/>
    <w:rsid w:val="2FA86CC9"/>
    <w:rsid w:val="30F73BC9"/>
    <w:rsid w:val="336D4581"/>
    <w:rsid w:val="37EB2FCA"/>
    <w:rsid w:val="38274566"/>
    <w:rsid w:val="387F123F"/>
    <w:rsid w:val="3B195860"/>
    <w:rsid w:val="3C6A0897"/>
    <w:rsid w:val="3CE60A4E"/>
    <w:rsid w:val="3D6E33D0"/>
    <w:rsid w:val="3E2A00ED"/>
    <w:rsid w:val="3E645469"/>
    <w:rsid w:val="3FA62572"/>
    <w:rsid w:val="43DE25FC"/>
    <w:rsid w:val="43ED6D77"/>
    <w:rsid w:val="443F007E"/>
    <w:rsid w:val="46B26FB4"/>
    <w:rsid w:val="4C2218A7"/>
    <w:rsid w:val="4E19600B"/>
    <w:rsid w:val="4ECD1F20"/>
    <w:rsid w:val="4FA31290"/>
    <w:rsid w:val="5B0008C2"/>
    <w:rsid w:val="5D283A49"/>
    <w:rsid w:val="5D335644"/>
    <w:rsid w:val="5D3537FD"/>
    <w:rsid w:val="5E982573"/>
    <w:rsid w:val="5F047298"/>
    <w:rsid w:val="5FC26237"/>
    <w:rsid w:val="61143E06"/>
    <w:rsid w:val="620C5349"/>
    <w:rsid w:val="62561FBB"/>
    <w:rsid w:val="647826E7"/>
    <w:rsid w:val="67C55F41"/>
    <w:rsid w:val="695A1C07"/>
    <w:rsid w:val="6A425119"/>
    <w:rsid w:val="6BA02A3F"/>
    <w:rsid w:val="6BA70F34"/>
    <w:rsid w:val="6BD468C0"/>
    <w:rsid w:val="6CAA64A2"/>
    <w:rsid w:val="6E6C4064"/>
    <w:rsid w:val="6F8641F0"/>
    <w:rsid w:val="717F7D89"/>
    <w:rsid w:val="74C623C8"/>
    <w:rsid w:val="781F57A5"/>
    <w:rsid w:val="7833500F"/>
    <w:rsid w:val="7BA60DBD"/>
    <w:rsid w:val="7BB14CAD"/>
    <w:rsid w:val="7C39492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unhideWhenUsed/>
    <w:uiPriority w:val="1"/>
  </w:style>
  <w:style w:type="table" w:default="1" w:styleId="6">
    <w:name w:val="Normal Table"/>
    <w:semiHidden/>
    <w:unhideWhenUsed/>
    <w:uiPriority w:val="99"/>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11"/>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5">
    <w:name w:val="Normal (Web)"/>
    <w:basedOn w:val="1"/>
    <w:semiHidden/>
    <w:unhideWhenUsed/>
    <w:qFormat/>
    <w:uiPriority w:val="99"/>
    <w:pPr>
      <w:spacing w:beforeAutospacing="1" w:afterAutospacing="1"/>
      <w:jc w:val="left"/>
    </w:pPr>
    <w:rPr>
      <w:kern w:val="0"/>
      <w:sz w:val="24"/>
    </w:rPr>
  </w:style>
  <w:style w:type="table" w:styleId="7">
    <w:name w:val="Table Grid"/>
    <w:basedOn w:val="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9">
    <w:name w:val="Strong"/>
    <w:basedOn w:val="8"/>
    <w:qFormat/>
    <w:uiPriority w:val="22"/>
    <w:rPr>
      <w:b/>
    </w:rPr>
  </w:style>
  <w:style w:type="character" w:styleId="10">
    <w:name w:val="Hyperlink"/>
    <w:basedOn w:val="8"/>
    <w:unhideWhenUsed/>
    <w:qFormat/>
    <w:uiPriority w:val="99"/>
    <w:rPr>
      <w:color w:val="0000FF"/>
      <w:u w:val="single"/>
    </w:rPr>
  </w:style>
  <w:style w:type="character" w:customStyle="1" w:styleId="11">
    <w:name w:val="页眉 字符"/>
    <w:basedOn w:val="8"/>
    <w:link w:val="4"/>
    <w:qFormat/>
    <w:uiPriority w:val="99"/>
    <w:rPr>
      <w:kern w:val="2"/>
      <w:sz w:val="18"/>
      <w:szCs w:val="24"/>
    </w:rPr>
  </w:style>
  <w:style w:type="paragraph" w:styleId="12">
    <w:name w:val="No Spacing"/>
    <w:qFormat/>
    <w:uiPriority w:val="1"/>
    <w:rPr>
      <w:rFonts w:eastAsia="Microsoft YaHei UI" w:asciiTheme="minorHAnsi" w:hAnsiTheme="minorHAnsi" w:cstheme="minorBidi"/>
      <w:sz w:val="22"/>
      <w:szCs w:val="22"/>
      <w:lang w:val="en-US" w:eastAsia="zh-CN" w:bidi="ar-SA"/>
    </w:rPr>
  </w:style>
  <w:style w:type="paragraph" w:styleId="13">
    <w:name w:val="List Paragraph"/>
    <w:basedOn w:val="1"/>
    <w:qFormat/>
    <w:uiPriority w:val="99"/>
    <w:pPr>
      <w:ind w:firstLine="420" w:firstLineChars="200"/>
    </w:pPr>
  </w:style>
  <w:style w:type="character" w:customStyle="1" w:styleId="14">
    <w:name w:val="font21"/>
    <w:basedOn w:val="8"/>
    <w:qFormat/>
    <w:uiPriority w:val="0"/>
    <w:rPr>
      <w:rFonts w:ascii="宋体" w:hAnsi="宋体" w:eastAsia="宋体" w:cs="宋体"/>
      <w:color w:val="000000"/>
      <w:sz w:val="34"/>
      <w:szCs w:val="34"/>
      <w:u w:val="none"/>
    </w:rPr>
  </w:style>
  <w:style w:type="character" w:customStyle="1" w:styleId="15">
    <w:name w:val="font31"/>
    <w:basedOn w:val="8"/>
    <w:qFormat/>
    <w:uiPriority w:val="0"/>
    <w:rPr>
      <w:rFonts w:hint="default" w:ascii="Arial" w:hAnsi="Arial" w:cs="Arial"/>
      <w:color w:val="000000"/>
      <w:sz w:val="15"/>
      <w:szCs w:val="15"/>
      <w:u w:val="none"/>
    </w:rPr>
  </w:style>
  <w:style w:type="character" w:customStyle="1" w:styleId="16">
    <w:name w:val="font41"/>
    <w:basedOn w:val="8"/>
    <w:qFormat/>
    <w:uiPriority w:val="0"/>
    <w:rPr>
      <w:rFonts w:hint="default" w:ascii="Arial" w:hAnsi="Arial" w:cs="Arial"/>
      <w:color w:val="000000"/>
      <w:sz w:val="19"/>
      <w:szCs w:val="19"/>
      <w:u w:val="none"/>
    </w:rPr>
  </w:style>
  <w:style w:type="character" w:customStyle="1" w:styleId="17">
    <w:name w:val="font01"/>
    <w:basedOn w:val="8"/>
    <w:qFormat/>
    <w:uiPriority w:val="0"/>
    <w:rPr>
      <w:rFonts w:hint="default" w:ascii="Arial" w:hAnsi="Arial" w:cs="Arial"/>
      <w:color w:val="000000"/>
      <w:sz w:val="16"/>
      <w:szCs w:val="16"/>
      <w:u w:val="none"/>
    </w:rPr>
  </w:style>
  <w:style w:type="character" w:customStyle="1" w:styleId="18">
    <w:name w:val="font51"/>
    <w:basedOn w:val="8"/>
    <w:qFormat/>
    <w:uiPriority w:val="0"/>
    <w:rPr>
      <w:rFonts w:hint="default" w:ascii="Arial" w:hAnsi="Arial" w:cs="Arial"/>
      <w:color w:val="000000"/>
      <w:sz w:val="18"/>
      <w:szCs w:val="18"/>
      <w:u w:val="none"/>
    </w:rPr>
  </w:style>
  <w:style w:type="paragraph" w:customStyle="1" w:styleId="19">
    <w:name w:val="Table Paragraph"/>
    <w:basedOn w:val="1"/>
    <w:qFormat/>
    <w:uiPriority w:val="1"/>
    <w:pPr>
      <w:autoSpaceDE w:val="0"/>
      <w:autoSpaceDN w:val="0"/>
      <w:ind w:left="346"/>
      <w:jc w:val="left"/>
    </w:pPr>
    <w:rPr>
      <w:rFonts w:ascii="仿宋" w:hAnsi="仿宋" w:eastAsia="仿宋" w:cs="仿宋"/>
      <w:kern w:val="0"/>
      <w:sz w:val="22"/>
      <w:lang w:val="zh-CN" w:bidi="zh-CN"/>
    </w:rPr>
  </w:style>
  <w:style w:type="paragraph" w:customStyle="1" w:styleId="20">
    <w:name w:val="首缩  楷体"/>
    <w:basedOn w:val="1"/>
    <w:qFormat/>
    <w:uiPriority w:val="0"/>
    <w:pPr>
      <w:spacing w:line="288" w:lineRule="auto"/>
      <w:ind w:firstLine="420" w:firstLineChars="200"/>
      <w:jc w:val="left"/>
    </w:pPr>
    <w:rPr>
      <w:rFonts w:hint="eastAsia" w:eastAsia="楷体"/>
      <w:szCs w:val="21"/>
    </w:rPr>
  </w:style>
  <w:style w:type="character" w:customStyle="1" w:styleId="21">
    <w:name w:val="font61"/>
    <w:basedOn w:val="8"/>
    <w:qFormat/>
    <w:uiPriority w:val="0"/>
    <w:rPr>
      <w:rFonts w:hint="default" w:ascii="Arial" w:hAnsi="Arial" w:cs="Arial"/>
      <w:color w:val="000000"/>
      <w:sz w:val="13"/>
      <w:szCs w:val="13"/>
      <w:u w:val="none"/>
    </w:rPr>
  </w:style>
  <w:style w:type="character" w:customStyle="1" w:styleId="22">
    <w:name w:val="font11"/>
    <w:basedOn w:val="8"/>
    <w:qFormat/>
    <w:uiPriority w:val="0"/>
    <w:rPr>
      <w:rFonts w:ascii="宋体" w:hAnsi="宋体" w:eastAsia="宋体" w:cs="宋体"/>
      <w:color w:val="000000"/>
      <w:sz w:val="32"/>
      <w:szCs w:val="3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numbering" Target="numbering.xml"/><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00E9C2-1C58-4672-B604-CFC2A081C095}">
  <ds:schemaRefs/>
</ds:datastoreItem>
</file>

<file path=docProps/app.xml><?xml version="1.0" encoding="utf-8"?>
<Properties xmlns="http://schemas.openxmlformats.org/officeDocument/2006/extended-properties" xmlns:vt="http://schemas.openxmlformats.org/officeDocument/2006/docPropsVTypes">
  <Pages>0</Page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2023-12-07T14:35:51Z</dcterms:created>
  <dc:creator/>
  <cp:category/>
  <dc:description/>
  <cp:contentStatus/>
  <dc:identifier/>
  <cp:lastModifiedB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Properties>
</file>