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宋体" w:cs="Times New Roman"/>
          <w:b/>
          <w:bCs/>
          <w:sz w:val="40"/>
          <w:szCs w:val="40"/>
        </w:rPr>
      </w:pPr>
      <w:r>
        <w:rPr>
          <w:rFonts w:hint="default" w:ascii="Times New Roman" w:hAnsi="Times New Roman" w:eastAsia="宋体" w:cs="Times New Roman"/>
          <w:b/>
          <w:bCs/>
          <w:sz w:val="40"/>
          <w:szCs w:val="40"/>
        </w:rPr>
        <w:drawing>
          <wp:anchor distT="0" distB="0" distL="114300" distR="114300" simplePos="0" relativeHeight="251659264" behindDoc="0" locked="0" layoutInCell="1" allowOverlap="1">
            <wp:simplePos x="0" y="0"/>
            <wp:positionH relativeFrom="page">
              <wp:posOffset>12357100</wp:posOffset>
            </wp:positionH>
            <wp:positionV relativeFrom="topMargin">
              <wp:posOffset>10960100</wp:posOffset>
            </wp:positionV>
            <wp:extent cx="393700" cy="3175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4"/>
                    <a:stretch>
                      <a:fillRect/>
                    </a:stretch>
                  </pic:blipFill>
                  <pic:spPr>
                    <a:xfrm>
                      <a:off x="0" y="0"/>
                      <a:ext cx="393700" cy="317500"/>
                    </a:xfrm>
                    <a:prstGeom prst="rect">
                      <a:avLst/>
                    </a:prstGeom>
                  </pic:spPr>
                </pic:pic>
              </a:graphicData>
            </a:graphic>
          </wp:anchor>
        </w:drawing>
      </w:r>
      <w:r>
        <w:rPr>
          <w:rFonts w:hint="default" w:ascii="Times New Roman" w:hAnsi="Times New Roman" w:eastAsia="宋体" w:cs="Times New Roman"/>
          <w:b/>
          <w:bCs/>
          <w:sz w:val="40"/>
          <w:szCs w:val="40"/>
        </w:rPr>
        <w:t>辽宁名校联考2023～2024学年度上学期高三</w:t>
      </w:r>
    </w:p>
    <w:p>
      <w:pPr>
        <w:jc w:val="center"/>
        <w:rPr>
          <w:rFonts w:hint="default" w:ascii="Times New Roman" w:hAnsi="Times New Roman" w:eastAsia="宋体" w:cs="Times New Roman"/>
          <w:b/>
          <w:bCs/>
          <w:sz w:val="40"/>
          <w:szCs w:val="40"/>
        </w:rPr>
      </w:pPr>
      <w:r>
        <w:rPr>
          <w:rFonts w:hint="default" w:ascii="Times New Roman" w:hAnsi="Times New Roman" w:eastAsia="宋体" w:cs="Times New Roman"/>
          <w:b/>
          <w:bCs/>
          <w:sz w:val="40"/>
          <w:szCs w:val="40"/>
        </w:rPr>
        <w:t>12月联合考试卷</w:t>
      </w:r>
    </w:p>
    <w:p>
      <w:pPr>
        <w:jc w:val="center"/>
        <w:rPr>
          <w:rFonts w:hint="default" w:ascii="Times New Roman" w:hAnsi="Times New Roman" w:eastAsia="宋体" w:cs="Times New Roman"/>
          <w:b/>
          <w:bCs/>
          <w:sz w:val="40"/>
          <w:szCs w:val="40"/>
        </w:rPr>
      </w:pPr>
      <w:r>
        <w:rPr>
          <w:rFonts w:hint="default" w:ascii="Times New Roman" w:hAnsi="Times New Roman" w:eastAsia="宋体" w:cs="Times New Roman"/>
          <w:b/>
          <w:bCs/>
          <w:sz w:val="40"/>
          <w:szCs w:val="40"/>
        </w:rPr>
        <w:t>政    治</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考生注意：</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1.本试卷分选择题和非选择题两部分。满分100分，考试时间75分钟。</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2.答题前，考生务必用直径0.5毫米黑色墨水签字笔将密封线内项目填写清楚。</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考生作答时，请将答案答在答题卡上。选择题每小题选出答案后，用2B铅笔把答题卡上对应题目的答案标号涂黑；非选择题请用直径0.5毫米黑色墨水签字笔在答题卡上各题的答题区域内作答，超出答题区域书写的答案无效，在试题卷、草稿纸上作答无效。</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4.本卷命题范围：统编版必修1、2、4,必修3第一至五课。</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一、选择题：本大题共16小题，每小题3分，共48分。在每小题给出的四个选项中，只有一项是符合题目要求的。</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1.以下两首诗以生动的艺术形象，通俗易懂的语言，描绘出了封建社会的不平等和农民的辛苦。下列对封建社会的生产关系，解读正确的有</w:t>
      </w:r>
    </w:p>
    <w:p>
      <w:pPr>
        <w:jc w:val="center"/>
        <w:rPr>
          <w:rFonts w:hint="default" w:ascii="Times New Roman" w:hAnsi="Times New Roman" w:eastAsia="宋体" w:cs="Times New Roman"/>
          <w:sz w:val="22"/>
          <w:szCs w:val="28"/>
        </w:rPr>
      </w:pPr>
      <w:r>
        <w:drawing>
          <wp:inline distT="0" distB="0" distL="114300" distR="114300">
            <wp:extent cx="3190875" cy="16192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3190875" cy="1619250"/>
                    </a:xfrm>
                    <a:prstGeom prst="rect">
                      <a:avLst/>
                    </a:prstGeom>
                    <a:noFill/>
                    <a:ln>
                      <a:noFill/>
                    </a:ln>
                  </pic:spPr>
                </pic:pic>
              </a:graphicData>
            </a:graphic>
          </wp:inline>
        </w:drawing>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①广大农民因未占有生产资料而被迫辛苦劳作</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②铁犁牛耕的生产表明封建耕作技术依然落后</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 xml:space="preserve">③农民受剥削的基础是封建土地所有制的存在  </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④地主凭借对土地的占有使农民不得不受剥削</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A.①②B.①④C.②③D.③④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在改革开放的道路上中国一往无前、风雨无阻。今天重温邓小平同志的南方谈话，从中汲取理论的智慧，感受政策的力量，不仅坚定了我们发展社会主义市场经济的信心，也激励着我们续写更多新时代“春天的故事”。这说明改革开放</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①是党和人民大踏步赶上时代的重要法宝</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②是决定当代中国命运的关键一招和正确抉择</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③是我国实现中华民族伟大复兴的坚定政治引领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④是建立社会主义市场经济体制的目标和任务</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A.①②B.①③C.②④D.③④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习近平总书记说：“这是一个需要理论而且一定能够产生理论的时代，这是一个需要思想而且一定能够产生思想的时代。”习近平新时代中国特色社会主义思想应运而生，并深深影响着这个时代。这说明习近平新时代中国特色社会主义思想</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 xml:space="preserve">①是新时代的实践结晶和新时代的精神旗帜  </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 xml:space="preserve">②为新时代经济社会发展提供根本遵循和行动指南  </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 xml:space="preserve">③是新时代中国共产党全部理论和实践的根据  </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④明确了新时代中国特色社会主义发展的战略安排</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A.①②B.①④C.②③D.③④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4.国企改革三年行动已经响铃交卷，国有资本整体运行质量显著提升。但在国企股权结构市场化方面还存在“三个不够”,使企业实践成果距离市场化目标要求仍有很大提升空间。这就要求</w:t>
      </w:r>
    </w:p>
    <w:p>
      <w:pPr>
        <w:jc w:val="center"/>
        <w:rPr>
          <w:rFonts w:hint="default" w:ascii="Times New Roman" w:hAnsi="Times New Roman" w:eastAsia="宋体" w:cs="Times New Roman"/>
          <w:sz w:val="22"/>
          <w:szCs w:val="28"/>
        </w:rPr>
      </w:pPr>
      <w:r>
        <w:drawing>
          <wp:inline distT="0" distB="0" distL="114300" distR="114300">
            <wp:extent cx="2562225" cy="104775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2562225" cy="1047750"/>
                    </a:xfrm>
                    <a:prstGeom prst="rect">
                      <a:avLst/>
                    </a:prstGeom>
                    <a:noFill/>
                    <a:ln>
                      <a:noFill/>
                    </a:ln>
                  </pic:spPr>
                </pic:pic>
              </a:graphicData>
            </a:graphic>
          </wp:inline>
        </w:drawing>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①国企必须处理好经济责任和社会责任的关系</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②上市公司必须优化股权结构推动公司价值的提高</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③股份制作为混合所有制形式应实现各类资本优势互补</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④企业应实施核心岗位上关键人才的长期激励</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A.①②B.①③C.②④D.③④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中国人民银行货币政策委员会指出，当前外部环境更趋复杂严峻，国内经济总体延续恢复发展态势，但仍面临需求收缩、供给冲击、预期转弱三重压力，因此必须做到经济要稳住、发展要安全。以下符合此要求的是</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①把实施扩大内需战略同深化供给侧结构性改革有机结合起来</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②立足国际经济大循环，推动贸易与投资的自由化和便利化</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③疏通货币政策的传导机制，提高资本在初次分配中的比重</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④发挥新型举国体制的作用；推动关键核心技术的自主可控</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A.①②B.①④C.②③D.③④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随着慈善事业的发展，公益范围从扶贫、养老、救灾、济困等传统领域向科教、文化、体育、卫生、环保等更广阔的领域发展，在扶贫济困、扶老救孤、助残优抚、救助灾害、科教文卫、环境保护等领域发挥了重要作用。对慈善事业理解正确的是</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①作为一种补充保障形式，慈善可弥补社会保障覆盖面和保障效能</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②慈善事业通过第三次分配的形式，改善居民收入和财富分配格局</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③将慈善事业作为基本经济制度管理，能够有效地推动和完善社会治理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④慈善事业作为社会救助，根植于道德土壤以慈善资源为基础</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A.①②B.②④C.①③D.③④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7.20世纪上半叶，在中国的出路、前途和命运问题上，各种政治力量分别提出自己的方案，进行了异常激烈的较量。在众多建国方案中，只有中国共产党的方案最终赢得中国最广大的人民群众包括民族资产阶级及其政治代表在内的拥护，其原因在于</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①中国共产党始终是反帝反封建的民主革命的领导力量</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②中国人民从中国共产党身上看到了解决中国问题的出路和希望</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③中国共产党的建国方案符合历史规律和广大人民群众的利益</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④中国共产党把为中华民族谋复兴确立为自己的最高奋斗目标</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A.①②B.①④C.②③D.③④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8.习近平总书记在党的二十大报告中指出：“我们党作为世界上最大的马克思主义执政党，要始终赢得人民拥护、巩固长期执政地位，必须时刻保持解决大党独有难题的清醒和坚定。”全党时刻保持解决大党独有难题的清醒和坚定，需要中国共产党</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①坚定理想信念，履行经济建设职能</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 xml:space="preserve">②以思想建设为统领，提升党建质量  </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③勇于自我革命，保持党的先进性</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④加强党的建设，深入推进反腐斗争</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A.①②B.①④C.②③D.③④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9.习近平总书记强调：“民主是全人类的共同价值，是中国共产党和中国人民始终不渝坚持的重要理念。”党的十八大以来，以习近平同志为核心的党中央深化对中国民主政治发展规律的认识，提出全过程人民民主重大理念并大力推进。“履不必同，期于适足；治不必同，期于利民。”我国全过程人民民主之所以行得通、真管用，就是因为它</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 xml:space="preserve">①深深植根于中国社会土壤，符合中国国情和实际  </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②主体是全体公民，最终目的是保障人民当家作主</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③不仅有完整的制度程序，而且有完整的参与实践</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④肩负着对人民实行民主与对敌人实行专政的双重任务</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A.①③B.①④C.②③D.②④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10.调查研究是谋事之基、成事之道，是为基层发展找路子、指方向、解难题的重要途径，没有调查就没有发言权和决策权。党员干部要带头深入调查研究，扑下身子干实事、为人民谋实招、求实效。这说明党的调查研究</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①有利于巩固和扩大党长期执政的群众基础</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②能够急人民群众所急并满足人民各项需求</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③是新时代党和国家事业发展提供根本遵循</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④有助于提高执政能力以做到科学民主执政</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A.①②B.②③C.①④D.③④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11.党如何跳出治乱兴衰历史周期率问题，经过百年奋斗党给出了答案——自我革命，就是补钙壮骨、排毒杀菌、壮士断腕、去腐生肌，不断清除侵蚀党的健康肌体的病毒，提高自身免疫力，这是百年政党永葆生机的根本法宝。对此理解正确的是</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①自我革命有利于维护各级党组织的权威和集中统一领导</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②勇于自我革命是中国共产党的最鲜明品格和最大的优势</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③加强人民对党的民主监督才能提高党的凝聚力和战斗力</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④自我革命是加强党的领导和提升其执政能力的必然要求</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A.①③B.②③C.②④D.①④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12.2023年7月25日至27日，习近平总书记在四川考察并作重要讲话。他强调，要坚持“川渝一盘棋”,加强成渝区域协同发展，构筑向西开放战略高地和参与国际竞争新基地，尽快成为带动西部高质量发展的重要增长极和新的动力源。这表明</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①要着眼于事物的整体性，注重系统优化</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②要充分发挥主观能动性，把客观实际与主观规划结合起来</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③整体统率着部分，整体功能大于部分功能之和</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④要重视部分的作用，用局部的发展推动整体的发展</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A.①②B.①④C.②③D.③④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13.近年来，宁夏把提高工业固废综合利用率、发展再生资源产业作为推进黄河流域生态保护和高质量发展先行区建设的重要抓手，加快构建“变废为宝”新产业链，带动产业转型升级和新旧动能转换。由此可见</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①要坚持共性与个性具体的历史的统一</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②要在矛盾双方相互斗争中推动事物的发展</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③要抓住主要矛盾，把握好工作的着力点</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④矛盾双方依据一定的条件相互转化</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A.①②B.①④C.②③D.③④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14.针对户政管理中的痛点堵点问题，公安部认真倾听群众呼声，广泛开展调查研究，加快推进便利化改革。2023年8月3日，公安部发布《公安机关服务保障高质量发展若干措施》,全力推进全类型户口迁移“跨省通办”工作，有效推动解决群众“多跑路”“折返跑”难题，有力服务保障高质量发展。这表明公安部</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①通过变革经济基础适应上层建筑的要求</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②通过调整生产关系以促进生产力的发展</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③在解决社会基本矛盾中推动经济社会发展</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④坚持从群众中来，到群众中去的工作方法</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A.①②B.①④C.②③D.③④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15.成都世界大学生运动会期间，一系列具有国际范、中国风、巴蜀韵的文化交流活动精彩纷呈，为世界了解中华文化打开新的窗口。从开幕式上令水惊叹的“太阳神鸟”图案，到颁奖仪式前引发热烈欢呼的川剧变脸表演；从大运村里让运动员流连忘返的非遗体验活动，到多条风光无限的文化观光路线……各代表团青年充分感受中华文化的独特魅力。上述文化交流，有利于</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①推动不同民族文化互信互鉴，消除文化差异</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②讲好中国故事，扩大中华文化的国际影响力</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③增强各国对中华文化的认同，促进民心相通</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④促进不同文明美美与共，构建人类命运共同体</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A.①②B.①③C.②④D.③④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16.近年来，多地农民自发开展“土味”十足的“乡村春晚”“村BA”等乡村文化实践，昭示着乡土文化的复兴。“村晚”“村超”等文化活动成为文旅融合的新联结点，不仅拉动当地民宿、酒店、餐饮等行业营收增长，对推广当地旅游资源、非遗项目和农特产品的带动作用亦不容小觑。这表明</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①文化与经济相互影响、相互交融</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②广大人民群众具有坚实的文化自信</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③文化反作用于经济，促进经济的发展</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④优秀文化可以教化育人，促进人的全面发展</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A.①②B.①④C.②③D.③④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二、非选择题：本大题共4小题，共52分。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17.阅读材料，完成下列要求。(10分)</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2022年是中华民族伟大复兴的中国梦提出十周年。十年前，习近平总书记首次提出并阐述“中国梦”:“实现中华民族伟大复兴，就是中华民族近代以来最伟大的梦想”。字字千钧，深深印在我们每个人心中。十年前提出的“中国梦”,如今已映照在无数现实之中。笃行十年，砥砺十年。以习近平同志为核心的党中央统筹中华民族伟大复兴战略全局和世界百年未有之大变局，统揽伟大斗争、伟大工程、伟大事业、伟大梦想，团结带领全党全国各族人民筑梦逐梦圆梦：我国经济实力实现历史性跃升，大国小家的钱袋子越来越鼓；全过程人民民主全面发展；文化自信明显增强；社会治理明显改进；天更蓝、山更绿、水更清；不少科技领域由“追赶”变为“并跑”甚至“领跑”……无数的追梦人踔厉奋发、笃行不怠，汇聚成新时代中国的奋斗图景。东南亚首条高铁印尼雅万高铁试验运行成功，中欧班列成为亚欧大陆上距离最长的合作纽带，全球首个“双奥之城”北京成功举办冬奥助力同心共筑冰雪梦……一个个创举，一条条纪录，折射出中国为人类谋进步、为世界谋大同的努力。</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结合材料，运用中国特色社会主义知识，说明中国十年取得的重大成就对实现中华民族伟大复兴中国梦的启示。</w:t>
      </w:r>
    </w:p>
    <w:p>
      <w:pPr>
        <w:rPr>
          <w:rFonts w:hint="eastAsia" w:ascii="Times New Roman" w:hAnsi="Times New Roman" w:eastAsia="宋体" w:cs="Times New Roman"/>
          <w:sz w:val="22"/>
          <w:szCs w:val="28"/>
          <w:lang w:val="en-US" w:eastAsia="zh-CN"/>
        </w:rPr>
      </w:pPr>
    </w:p>
    <w:p>
      <w:pPr>
        <w:rPr>
          <w:rFonts w:hint="eastAsia" w:ascii="Times New Roman" w:hAnsi="Times New Roman" w:eastAsia="宋体" w:cs="Times New Roman"/>
          <w:sz w:val="22"/>
          <w:szCs w:val="28"/>
          <w:lang w:val="en-US" w:eastAsia="zh-CN"/>
        </w:rPr>
      </w:pPr>
    </w:p>
    <w:p>
      <w:pPr>
        <w:rPr>
          <w:rFonts w:hint="default" w:ascii="Times New Roman" w:hAnsi="Times New Roman" w:eastAsia="宋体" w:cs="Times New Roman"/>
          <w:sz w:val="22"/>
          <w:szCs w:val="28"/>
        </w:rPr>
      </w:pPr>
      <w:r>
        <w:rPr>
          <w:rFonts w:hint="eastAsia" w:ascii="Times New Roman" w:hAnsi="Times New Roman" w:eastAsia="宋体" w:cs="Times New Roman"/>
          <w:sz w:val="22"/>
          <w:szCs w:val="28"/>
          <w:lang w:val="en-US" w:eastAsia="zh-CN"/>
        </w:rPr>
        <w:t>1</w:t>
      </w:r>
      <w:r>
        <w:rPr>
          <w:rFonts w:hint="default" w:ascii="Times New Roman" w:hAnsi="Times New Roman" w:eastAsia="宋体" w:cs="Times New Roman"/>
          <w:sz w:val="22"/>
          <w:szCs w:val="28"/>
        </w:rPr>
        <w:t>8.阅读材料，完成下列要求。(12分)</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2023年提升个税专项附加扣除标准、全年一次性奖金单独计税、新能源汽车车购税继续减免……税惠“红包”直达普通唐民，增强获得感。甲收入约20万元，计算个税应纳税所得额时，3岁以下婴幼儿照护、子女教育专项附加扣除标准每孩提高1000元，赡养老人专项附加扣除标准提高1000元，每个月都可以多扣除3000元，一年就是3.6万元，减税幅度超过了50%。乙年收入约为25万元，其中年终奖占比较高。从近两年汇算的经验看，奖金单独计税可节税1000元以上。丙近日喜提新车。落地价15万元左右，可享受减免1万多元的车辆购置税，这笔钱如果折算成电费，差不多可以让车行驶7万公里。</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结合材料，运用《经济与社会》知识，说明我国税惠“红包”对经济发展的作用。</w:t>
      </w: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19.阅读材料，完成下列要求。(12分)</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校园安全事关千家万户，公安部门多措并举全力筑牢校园安全防线。</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近年来，全国公安机关会同教育等部门开展“护校安园”专项工作，严打涉校违法犯罪。2022年累计清理整治校园周边治安乱点12万处，排查化解涉校涉生矛盾纠纷2.2万起。全国公安机关联合教育部门重点对学生欺凌事件进行联合打击整治，在各部门的共同努力下，2022年涉校刑事案件同比下降30.7%,涉校刑事案件连续10年下降。</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为进一步推动校园安全工作制度化规范化，公安机关会同有关部门着力强化建章立制，不断规范校园安全相关制度标准。2022年，公安部联合教育部、最高人民法院等，以教育部规章形式发布了《中小学法治副校长聘任与管理办法》,指导各地进一步规范中小学法治副校长聘任与管理，促进未成年人健康成长。经过多轮实地调研、征求意见、讨论审查，联合教育部组织相关单位完成了《中小学幼儿园安全防范要求》修订工作，为各地加强中小学幼儿园安全防范建设提供依据支撑。</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结合材料，运用“人民民主专政的社会主义国家”的知识，说明公安部门上述一系列举措的合理性。</w:t>
      </w: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20.阅读材料，完成下列要求。(18分)</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一个有希望的民族不能没有英雄，一个有前途的国家不能没有先锋。</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党和国家历来高度重视英雄烈士褒扬纪念工作。党的十八大以来，习近平总书记从实现中国梦、强军梦的战略高度作出一系列重要指示批示，强调要永远铭记英雄烈士的牺牲和奉献。据不完全统计，近代以来，有约2000万名烈士为国捐躯，他们在硝烟弥漫的战场、祖国建设的热土、保家卫国的一线冲锋陷阵、抛酒热血，他们为了谋求民族独立、人民解放和国家富强、人民幸福而英勇牺牲。</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党的十八大以来，习近平总书记缅怀先烈的足迹遍布国内20余个省份及境外多个国家和地区、数十处英烈纪念设施和其他革命纪念场馆。从西柏坡到沂蒙山区，从遵义到井冈山，从大别山区到吕梁山区，从淮海战役纪念馆到抚顺市雷锋纪念馆……以上率下、躬亲垂范，为全党全社会注入铭记历史、缅怀先烈、尊崇英雄的强大正能量。</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(1)结合材料，运用文化知识，说明我国重视英雄烈士褒扬纪念工作的意义。(9分)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(2)结合材料，运用价值观的知识，说明先烈们的英雄事迹对青年一代实现人生价值的启示。(9分)</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M5ZjNjNjc3MGRjNDU2ZDg1ODhkMmRmOWY2NDU1MWMifQ=="/>
  </w:docVars>
  <w:rsids>
    <w:rsidRoot w:val="2EB74A2E"/>
    <w:rsid w:val="004151FC"/>
    <w:rsid w:val="00C02FC6"/>
    <w:rsid w:val="2EB74A2E"/>
    <w:rsid w:val="3E0D7E4E"/>
    <w:rsid w:val="45FA2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0</Pages>
  <TotalTime>1</TotalTime>
  <ScaleCrop>false</ScaleCrop>
  <LinksUpToDate>false</LinksUpToDate>
  <Application>WPS Office_12.1.0.15712_F1E327BC-269C-435d-A152-05C5408002CA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2023-12-07T11:34:00Z</dcterms:created>
  <dc:creator>何京应</dc:creator>
  <cp:lastModifiedBy>何京应</cp:lastModifiedBy>
  <dcterms:modified xsi:type="dcterms:W3CDTF">2023-12-08T01:52:08Z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CD1DC4053D6B480F944D4C0ACBADD876_12</vt:lpwstr>
  </property>
</Properties>
</file>