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10617200</wp:posOffset>
            </wp:positionV>
            <wp:extent cx="292100" cy="4191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华中师大一附中2023—2024学年度上学期高三期中检测政治试题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本试卷共6页，两大题，全卷满分100分，考试时间75分钟，请将答案填涂在答题卡上。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一、单选题(每题3分，共16题，共48分)</w:t>
      </w:r>
    </w:p>
    <w:p w:rsidR="00FC5860" w:rsidRPr="00BE1BC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党</w:t>
      </w:r>
      <w:r>
        <w:rPr>
          <w:rFonts w:ascii="宋体" w:eastAsia="宋体" w:hAnsi="宋体" w:cs="宋体"/>
          <w:color w:val="auto"/>
          <w:position w:val="0"/>
        </w:rPr>
        <w:drawing>
          <wp:inline>
            <wp:extent cx="133350" cy="1778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>百年奋斗史，构成了一幅追求现代化的奋斗图景。下列说法符合这一奋斗图景的是（   ）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color w:val="auto"/>
        </w:rPr>
        <w:t>①新民主主义革命的胜利为实现现代化创造了根本社会条件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color w:val="auto"/>
        </w:rPr>
        <w:t>②社会主义革命的胜利为现代化建设提供了快速发展的物质条件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color w:val="auto"/>
        </w:rPr>
        <w:t>③改革开放为中国式现代化奠定了根本政治前提和制度基础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color w:val="auto"/>
        </w:rPr>
        <w:t>④新时代中国特色社会主义为中国式现代化提供了更主动的精神力量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①③</w:t>
      </w:r>
      <w:r w:rsidRPr="00BE1BCD" w:rsidR="00FC5860">
        <w:tab/>
      </w: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①④</w:t>
      </w:r>
      <w:r w:rsidRPr="00BE1BCD" w:rsidR="00FC5860">
        <w:tab/>
      </w: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②③</w:t>
      </w:r>
      <w:r w:rsidRPr="00BE1BCD" w:rsidR="00FC5860">
        <w:tab/>
      </w: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大棚种植信息跃然“码”上，电脑操控营养液系统，智慧农机协助进行保护性耕作……近年来，某市积极推进“数字农业”发展，率先建设“数字孪生农业基地”,赋能农民种植、农业生产，用数字技术便民助农，促进产业发展。对该市“数字农业”理解正确的是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①依托信息产业发展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②提升农业科技的推广和应用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③加强农业政务管理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④汇集和发布涉农数据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⑤提高农业生产水平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①→②→④→⑤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①→④→②→⑤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②→③→④→⑤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②→④→③→⑤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2023年8月14日，商务部等9部门联合发布《县域商业三年行动计划(2023-2025年)》(以下简称《行动计划》)，进一步推动供应链、物流配送、商品和服务下沉以及农产品上行，力争到2025年建立县域统筹，以县城为中心、乡镇为重点、村为基础的农村商业体系。这一举措可以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①推动资源要素向农村市场倾斜，促进县域商业高质量发展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②不断畅通县城农产品流通渠道，降低商品交易的制度成本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③完善县域商业网络设施和业态，提高乡镇商业的集聚效应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④打造商业新业态、新模式，加快企业转型升级和产业融合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下图为2023年一季度全国居民人均可支配收入构成及增长情况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5"/>
        <w:gridCol w:w="2182"/>
        <w:gridCol w:w="939"/>
        <w:gridCol w:w="939"/>
        <w:gridCol w:w="1116"/>
        <w:gridCol w:w="1116"/>
        <w:gridCol w:w="1116"/>
        <w:gridCol w:w="111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9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收入项目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全国居民人均可支配收入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城镇居民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农村居民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工资性收入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财产性收入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经营性收入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转移性收入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绝对量(元)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10870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14388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6131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9378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1231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3172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2728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同比增长(%)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5.1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4.0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6.1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5.0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5.8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4.1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5.1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注：2023年一季度我国国内生产总值(GDP)284997亿元，同比增长4.5%。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根据图中信息，可以看出（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①居民收入保持较快增长，与经济增长基本同步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②居民收入来源多样化，居民消费结构不断优化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③城乡差距进一步拉大，社会保障水平不断提高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④新发展理念得到深入贯彻，社会发展更趋公平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2023年8月，某省委反腐败协调小组印发《浙江省查处诬告陷害行为实施办法》，推动进一步严肃精准查处涉及党组织、党员、监察对象的诬告陷害行为，规范信访举报工作秩序。这要求中国共产党（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①坚持依法治国，引导公民负责任地行使监督权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②完善法律法规，推进政治建设规范化、法治化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③坚持依法执政，促使信访举报工作依法有序进行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④坚持实事求是，筑牢社会公平正义最后一道防线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2023年3月，全国人大常委会工作报告中回顾过去一年的工作时指出，首次听取审议国有资产管理情况综合报告，首次听取审议金融工作情况报告，首次听取审议国家监委有关专项工作报告，首次开展对“两高”专项工作报告的专题询问……这四个“首次”彰显全国人大常委会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①直面问题代替全国人大行使最高监督权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②以民主集中制原则作为履职的根本原则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③不断创新和完善执法监督检查的方式方法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④标志着新时代的人大监督工作迈出新步伐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某地建立“四所一庭”衔接联动，即司法所、公安派出所、律师事务所、基层法律服务所和人民法庭实施“一对一 ”和“一对多”对接，针对疑难复杂矛盾纠纷，研究确定联合调处工作方案，确保矛盾纠纷能够及时有效处置。这一做法（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①通过创新矛盾纠纷化解机制规范国家权力运行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②体现当前建设法治社会需要进行全方位的努力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③把所有矛盾纠纷解决在基层、化解在萌芽状态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④在推动依法治国的过程中更好维护了群众利益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习近平总书记曾提出过一个著名的“地瓜理论”：地瓜的藤蔓向四面八方延伸，为的是汲取更多的阳光、雨露和养分，但它的块茎始终是在根的基部，藤蔓的延伸扩张最终为的是块茎能长得更加粗壮硕大。2023年，浙江省重温“地瓜理论”，跳出浙江发展浙江。跳出浙江发展浙江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①运用综合思维方法认识事物，强调各要素的优化趋向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②改变事物的状态，把事物的内部联系转变为外部联系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③坚持用联系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观点看问题，重视加强与周边地区的联系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④重视联系的多样性，正确把握了事物存在和发展的条件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在中华人民共和国恢复联合国合法席位50周年纪念会议上，习近平总书记引用唐代诗人王昌龄的“青山一道同云雨，明月何曾是两乡”，呼吁世界各国摒弃分歧，携手共进，构建人类命运共同体。其蕴含的哲理有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①矛盾斗争性寓于同一性之中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②在统一中把握对立促进发展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③消除斗争性才能实现同一性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④在对立中把握同一寻找共同点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由上海艺术品博物馆主办的“艺海丝路——纪念一带一路合作倡议十周年特展”，让观众近距离接触伊朗、奥地利、埃及、土耳其、突尼斯等近20个“一带一路”沿线国家的特色文化与精湛工艺，感受“和而不同，美美与共”的文化理念。这表明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①文化因交流而多彩，文化因交融而丰富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②文化具有多样性是文化交流的重要前提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③不同民族的文化在交流借鉴中融为一体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④中华优秀传统文化源远流长、博大精深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首届全球数字贸易博览会在杭州举办，汇聚了境内外800余家数字贸易头部企业，聚焦数字化智能化转型和绿色低碳发展，现场签约重大项目24个，总投资额达493亿元，此外还有战略合作、投资协议、大宗贸易、跨境电商等各种合作形式。举办数贸会有利于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①拓展产业合作领域，优化国际贸易结构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②深化数字贸易合作，领导多边贸易体制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③产业转型升级，培育贸易新业态新模式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④拓展对外贸易，促进贸易和投资自由化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2023年2月，中国一艘民用无人飞艇因不可抗力误入美领空，美方声称该飞艇是中国用于“监视”的军事飞艇，并以先进战机发射导弹的方式将其击毁。美方违反国际法精神和国际惯例，有罪推断，过度反应，滥用武力，借题发挥，制造了一场本可以避免的外交危机。美方炒作“无人飞艇”事件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①严重冲击了中美关系的政治基础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②是典型的霸权主义和强权政治行径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③旨在激化中美矛盾，塑造新冷战阵营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④旨在维护美国两党和某些集团的利益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公司将数千吨棉花交给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公司存放于仓库中，双方签订仓储协议，约定具体安全保管参照国家关于储备棉管理的有关规定执行。后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公司仓库发生火灾，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公司存放的棉花被大量烧毁。经过当地消防部门的认定，火灾的主要原因是雷击引发的棉垛起火，间接原因包括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公司防雷电安全意识淡薄、未及时排除安全隐患等。对此下列说法正确的是（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公司应承担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公司火灾造成的全部经济损失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公司没有尽到妥善保管的义务，应承担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公司的部分损失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③因不可抗力导致合同不能履行，合同应为无效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④受不可抗力影响，可部分免除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公司的违约责任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王某用电热水器洗澡，死于家中浴室。尸检结论系触电死亡。其父母随即与热水器生产厂家交涉，要求赔偿。双方在赔偿金额上发生纠纷，王某父母就向法院提起诉讼。本案中（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①当事人若对一审判决不服，可以在判决生效前提起上诉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②庭审前若双方在法院主持下达成调解协议，可终结诉讼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</w:t>
      </w:r>
      <w:r>
        <w:rPr>
          <w:rFonts w:ascii="宋体" w:eastAsia="宋体" w:hAnsi="宋体" w:cs="宋体"/>
          <w:color w:val="000000"/>
          <w:position w:val="-1"/>
        </w:rPr>
        <w:drawing>
          <wp:inline>
            <wp:extent cx="139700" cy="1905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开庭准备阶段，审判长要告知被告人依法享有辩护权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④对王某父母的起诉，法院必须接收诉状并当场登记立案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①④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对以下表述理解正确的是（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①“他物权”和“用益物权”——从概念的外延上看属于属种关系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②法律意义上的父母包括生父母和养父母——犯了“定义过窄”的错误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③王某作为完全民事行为能力人不能完全辨认自己的行为——违反了同一律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④物权包括所有权、用益物权、担保物权——犯了“多出子项”错误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2023年国务院机构改革方案决定，在中国银行保险监督管理委员会基础上组建国家金融监督管理总局，统一负责除证券业之外的金融业监管。基于上述背景，在我国（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①所有的商业银行都是经政府批准设立的金融机构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②所有的商业银行都受国家金融监督管理总局监督管理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③有些经政府批准设立的机构受国家金融监督管理总局的监督管理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④有些经政府批准设立的机构是商业银行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从以上四个判断中选取三个，依次作为大前提、小前提、结论，下列选项中符合三段论推理规则的是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①——③——④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②——④——③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③——②——④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④——②——①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二、主观题(共五大题7小问，共52分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党的二十大报告提出，要全面推进乡村振兴，坚持农业农村优先发展，加快建设农业强国。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  夏风沁果香，林荫纳游人。某县B村高标准大棚葡萄基地里，在多优质葡萄品种垂挂枝头，红如玛瑙、紫如水晶，珠圆玉润，前来采摘的游客络绎不见。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B村一度曾是当地的产业空白村、集体经济负债村。为推进乡村振兴，村党支部统筹推行“党支部+基地+合作社+农户”模式，动员村民成立集体合作社，积极争取到财政专项资金，将“四荒四边”等散碎空闲土地进片集中，进行宽机化改造，引进发展企业和社会投资，吸引农户以土地入股方式创办村级企业，建成特色种植基地、农产品加工厂，进行村容村就改造，并在此基础上发展文旅观光产业。B村还正在建设研学康养基地，准备走农、文、旅、康融合发展之路。2022年村集体经济收入49．5万元，人均年收入超过2万元，步入了村强民富“快车道”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  B村党支部积极利用驻村工作队组织省农业农村厅、省农科院和高校的专家教授，到村实地指导，帮助该村精准选定产业项目，解决技术难题；将引进回乡的能人发展成党员，将党员培养成能人，建立乡村振兴“智囊团”和“土专家库”，带领村民积极创业。为提高宣居环境，B村在党支部引领下，正重点建设幸福乐园。目前项目一期已完成，保健室、图书室、儿童活动室、综合娱乐室等功能区域一应俱全。一年后，这里还将建成幸福食堂、幸福学堂，打造集为村民服务与技术培训、社会团建、农家乐于一体的综合服务场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结合材料一，运用《经济与社会》的知识，说明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村步入村强民富“快车道”的成功经验对推进乡村振兴的启示。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结合材料二，运用《政治与法治》的知识，分析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村党支部在该村推进乡村振兴中所发挥的作用。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2023年8月24-25日，中国加入《数字经济伙伴关系协定》工作组第三次首席谈判代表会议及第三次技术磋商在北京举行。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当前，全球范围内的工业数字化进程不断加速，数字经济的变革时代已经到来。据世界经济论坛预测，2025年，数字化转型预计将为全球经济带来100万亿美元的惊人增长。目前，中国主动对接DEPA，与成员方一道探索各领域合作，一些项目已取得积极进展。中方期待在推进加入谈判的同时，与成员方共同加强务实合作，促成更多项目尽早落地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结合材料，运用“世界多极化”的知识，阐述中国主动加入《数字经济伙伴关系协定》这一做法的正确性。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在保证长城本体安全的前提下，尽量用老砖、循古法，保留长城的“旧”，同时通过考古、建筑、材料等多学科合作，研究长城本体的演变过程、病害成因等，为科学编制保护方案提供更全面、系统、科学的依据。北京箭扣长城在修缮过程中，坚持“最小干预、修旧如旧”原则，延续了长城独特的文化景观特征，为历史文化遗产保护提供了有益借鉴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习近平总书记强调：“把老祖宗留下的文化遗产精心守护好，让历史文脉更好地传承下去。”历史文化遗产承载着中华民族的基因和血脉，是不可再生、不可替代的宝贵资源。修旧如旧，既是“始终把保护放在第一位”的必然要求，也是“让优秀文物世代相传”的应有之义，不仅有助于让历史文化遗产再现古朴风貌，也能让更多人了解历史文化遗产所承载的各类历史信息，穿越历史、跨越国界，从而更好地弘扬民族文化、赓续精神血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结合材料，运用对立统一关系原理分析如何处理好“修旧”和创新的关系。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“把老祖宗留下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文化遗产精心守护好，让历史文脉更好地传承下去。”结合材料并运用文化传承与文化创新的知识，说明保护历史文化遗产的原因。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钱甲为某单位退休人员，其妻早逝，独生子钱乙于2010年结婚，与父亲同住。2012年1月1日，钱甲与丧偶女士赵甲登记结婚，婚后在钱甲另一处房屋共同生活。赵甲无子女，与钱甲结婚前，和唯一的亲人妹妹赵乙(离婚单身)同吃同住。2022年1月1日，赵乙探望姐姐时发现姐姐夫妇煤气中毒，立即送往医院。途中，钱甲死亡，赵甲也终因抢救无效于次日凌晨死亡。整理遗物时发现钱甲赵甲夫妇留有存款1000000元，现钱乙要求继承该笔存款1000000元，赵乙提出异议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本案中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1000000元存款应如何分配?为什么?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习近平总书记深刻指出“调查研究是谋事之基、成事之道”,多次强调“要在全党大兴调查研究之风”。调查研究是我们党的传家宝，是做好各项工作的基本功。《中国社会各阶级的分析》《湖南农民运动考察报告》《寻鸟调查》《反对本本主义》……党史上这些历久弥新、至今仍熠熠生辉的经典名篇，无不建立在深入调查研究的基础上。调查研究也是毛泽东能作出“星星之火，可以燎原”“论持久战”等战略前瞻的基础。一语不能践，万卷徒空虚。当前，世界百年未有之大变局加速演进，不确定、难预料因素增多，国内改革发展稳定面临不少躲不开、绕不过的深层次矛盾，各种风险挑战、困难问题比以往更加严峻复杂，迫切需要通过调查研究把握事物的本质和规律，找到破解难题的办法和路径。党的二十大报告强调：“弘扬党的光荣传统和优良作风，促进党员干部特别是领导干部带头深入调查研究，扑下身子干实事、谋实招、求实效。”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结合材料，分析在超前思维的方法中调查研究的重要性。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br/>
      </w:r>
    </w:p>
    <w:sectPr w:rsidSect="00C321EB">
      <w:headerReference w:type="even" r:id="rId9"/>
      <w:footerReference w:type="even" r:id="rId11"/>
      <w:headerReference w:type="first" r:id="rId13"/>
      <w:footerReference w:type="first" r:id="rId14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4197816F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36357B" w14:textId="7777777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91436E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6C65A8D1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46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眉 字符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1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theme" Target="theme/theme1.xml"/><Relationship Id="rId16" Type="http://schemas.openxmlformats.org/officeDocument/2006/relationships/numbering" Target="numbering.xml"/><Relationship Id="rId17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png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