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3.7.0 -->
  <w:body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11328400</wp:posOffset>
            </wp:positionH>
            <wp:positionV relativeFrom="topMargin">
              <wp:posOffset>12306300</wp:posOffset>
            </wp:positionV>
            <wp:extent cx="431800" cy="495300"/>
            <wp:wrapNone/>
            <wp:docPr id="10002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b/>
          <w:color w:val="auto"/>
          <w:sz w:val="32"/>
        </w:rPr>
        <w:t>2022-2023学年第一学期10月六校联合调研试题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高三地理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一、单项选择题：本大题共23小题，每题2分，共计46分。在每小题给出的四个选项中，只有一项是符合题目要求的。</w:t>
      </w:r>
    </w:p>
    <w:p w:rsidR="00FC5860" w:rsidRPr="00BE1BCD">
      <w:pPr>
        <w:spacing w:line="360" w:lineRule="auto"/>
        <w:ind w:firstLine="420"/>
        <w:jc w:val="left"/>
      </w:pPr>
      <w:r>
        <w:rPr>
          <w:rFonts w:ascii="楷体" w:eastAsia="楷体" w:hAnsi="楷体" w:cs="楷体"/>
          <w:color w:val="auto"/>
        </w:rPr>
        <w:t>某摄影爱好者于10月1日、10日和20日的同一时间在同一海边向相同方向拍摄太阳，最后合成照片如图（下图）所示。完成下面小题。</w:t>
      </w:r>
    </w:p>
    <w:p w:rsidR="00FC5860" w:rsidRPr="00BE1BCD">
      <w:pPr>
        <w:spacing w:line="360" w:lineRule="auto"/>
        <w:jc w:val="left"/>
      </w:pPr>
      <w:r w:rsidRPr="00BE1BCD">
        <w:drawing>
          <wp:inline>
            <wp:extent cx="2028825" cy="127635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1. </w:t>
      </w:r>
      <w:r>
        <w:rPr>
          <w:rFonts w:ascii="宋体" w:eastAsia="宋体" w:hAnsi="宋体" w:cs="宋体"/>
          <w:color w:val="auto"/>
        </w:rPr>
        <w:t>摄影爱好者拍摄的方向为（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A. </w:t>
      </w:r>
      <w:r>
        <w:rPr>
          <w:rFonts w:ascii="宋体" w:eastAsia="宋体" w:hAnsi="宋体" w:cs="宋体"/>
          <w:color w:val="auto"/>
        </w:rPr>
        <w:t>东偏北</w:t>
      </w:r>
      <w:r w:rsidRPr="00BE1BCD" w:rsidR="00FC5860">
        <w:tab/>
      </w:r>
      <w:r w:rsidRPr="00BE1BCD" w:rsidR="00FC5860">
        <w:t xml:space="preserve">B. </w:t>
      </w:r>
      <w:r>
        <w:rPr>
          <w:rFonts w:ascii="宋体" w:eastAsia="宋体" w:hAnsi="宋体" w:cs="宋体"/>
          <w:color w:val="auto"/>
        </w:rPr>
        <w:t>东偏南</w:t>
      </w:r>
      <w:r w:rsidRPr="00BE1BCD" w:rsidR="00FC5860">
        <w:tab/>
      </w:r>
      <w:r w:rsidRPr="00BE1BCD" w:rsidR="00FC5860">
        <w:t xml:space="preserve">C. </w:t>
      </w:r>
      <w:r>
        <w:rPr>
          <w:rFonts w:ascii="宋体" w:eastAsia="宋体" w:hAnsi="宋体" w:cs="宋体"/>
          <w:color w:val="auto"/>
        </w:rPr>
        <w:t>西偏北</w:t>
      </w:r>
      <w:r w:rsidRPr="00BE1BCD" w:rsidR="00FC5860">
        <w:tab/>
      </w:r>
      <w:r w:rsidRPr="00BE1BCD" w:rsidR="00FC5860">
        <w:t xml:space="preserve">D. </w:t>
      </w:r>
      <w:r>
        <w:rPr>
          <w:rFonts w:ascii="宋体" w:eastAsia="宋体" w:hAnsi="宋体" w:cs="宋体"/>
          <w:color w:val="auto"/>
        </w:rPr>
        <w:t>西偏南</w:t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2. </w:t>
      </w:r>
      <w:r>
        <w:rPr>
          <w:rFonts w:ascii="宋体" w:eastAsia="宋体" w:hAnsi="宋体" w:cs="宋体"/>
          <w:color w:val="auto"/>
        </w:rPr>
        <w:t>第三次拍摄时太阳视运行的方向为图中的（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A. </w:t>
      </w:r>
      <w:r>
        <w:rPr>
          <w:rFonts w:ascii="宋体" w:eastAsia="宋体" w:hAnsi="宋体" w:cs="宋体"/>
          <w:color w:val="auto"/>
        </w:rPr>
        <w:t>箭头①</w:t>
      </w:r>
      <w:r w:rsidRPr="00BE1BCD" w:rsidR="00FC5860">
        <w:tab/>
      </w:r>
      <w:r w:rsidRPr="00BE1BCD" w:rsidR="00FC5860">
        <w:t xml:space="preserve">B. </w:t>
      </w:r>
      <w:r>
        <w:rPr>
          <w:rFonts w:ascii="宋体" w:eastAsia="宋体" w:hAnsi="宋体" w:cs="宋体"/>
          <w:color w:val="auto"/>
        </w:rPr>
        <w:t>箭头②</w:t>
      </w:r>
      <w:r w:rsidRPr="00BE1BCD" w:rsidR="00FC5860">
        <w:tab/>
      </w:r>
      <w:r w:rsidRPr="00BE1BCD" w:rsidR="00FC5860">
        <w:t xml:space="preserve">C. </w:t>
      </w:r>
      <w:r>
        <w:rPr>
          <w:rFonts w:ascii="宋体" w:eastAsia="宋体" w:hAnsi="宋体" w:cs="宋体"/>
          <w:color w:val="auto"/>
        </w:rPr>
        <w:t>箭头③</w:t>
      </w:r>
      <w:r w:rsidRPr="00BE1BCD" w:rsidR="00FC5860">
        <w:tab/>
      </w:r>
      <w:r w:rsidRPr="00BE1BCD" w:rsidR="00FC5860">
        <w:t xml:space="preserve">D. </w:t>
      </w:r>
      <w:r>
        <w:rPr>
          <w:rFonts w:ascii="宋体" w:eastAsia="宋体" w:hAnsi="宋体" w:cs="宋体"/>
          <w:color w:val="auto"/>
        </w:rPr>
        <w:t>箭头④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下图为某地经历了三次断层的地质平面图，其中不连续面指被风化和侵蚀的面。据此完成下面小题。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076700" cy="2238375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没有经过山谷的断层或不连续面是（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甲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乙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丙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戊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图中断层甲、乙和不连续面丙、丁形成先后顺序正确的是（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乙丙甲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甲乙丁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甲丙乙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丁乙甲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图为等高线示意图（比例尺1:760）反映我国某地区一种地貌的形成过程，虚线表示被遮挡部分。据此完成下面小题。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238750" cy="1511414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511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现在该地貌的外部形态最接近于（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锥状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洼地状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蘑菇状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柱状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图中箭头最可能代表的地质作用是（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冰川侵蚀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流水侵蚀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海浪侵蚀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风力侵蚀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该地区自然地理环境特征说法正确的是（   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雪山连绵，冰川广布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降水丰富，河网密布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岬湾相间，坡陡水深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气候干旱，荒漠广布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研究者通过比较不同时期地表反射率的差异，获取我国某区域植被生长状况，从而了解数十年来该地植被生长季始期与末期的变化。图示意该区域的气候资料。据此完成下列小题。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657600" cy="1724025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172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该区域的植被类型主要是（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落叶阔叶林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针阔混交林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荒漠草原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高山草甸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研究者发现该区域近十年来植被生长季的年际变化较大，下列说法正确的是（   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春季气温偏低，生长季始期将提前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夏季降水增多，生长季始期将推迟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秋季气温偏低，生长季末期将提前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冬季降水增多，生长季末期将推迟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该区域土壤突出特点是（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酸性较强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碱性较强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富含有机质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淋溶层厚度大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北海道属于温带季风气候，年平均气温8°C，年降水量800～1200mm。与日本大部分区域不同，北海道在夏季几乎未出现梅雨天气。图示意北海道年等降水量线分布。据此完成下面小题。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800350" cy="2667000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0035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北海道年等降水量线未与海岸线平行，主要取决于（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地形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海陆轮廓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洋流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风向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北海道几乎未出现梅雨天气，主要是因为（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寒流减湿作用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大气对流运动弱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纬度较高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寒潮活动频繁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北海道东部海域为航行高风险区的最主要原因是（   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多地震，海啸频繁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多海雾，能见度差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火山活动频繁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海面冰山漂浮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乌克兰东北部，日本西部及一些低纬度热带地区等木屋分布广泛。挪威群山环抱的原野深处分布着一座座古代木屋，全屋由原木搭建而成，底部架空，内部设有桑拿房。桑拿房中央是周边铺满鹅卵石的地坑，蒸桑拿时，用木炭生暗火，铺上鹅卵石，把水泼到石头上，产生水蒸气，让洗浴的人身心得到温暖和放松。图为挪威木屋形态和桑拿室的地坑。据此完成下面小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390900" cy="2286000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drawing>
          <wp:inline>
            <wp:extent cx="3076575" cy="2305050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木屋底部架空是为了（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防潮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增强稳定性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扩展用地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防范野兽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与明火相比，暗火并覆盖鹅卵石的作用是（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室内增温快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保温时间长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易于调控温度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预防火灾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人口流动是改变人口格局的基本动力，流动人口的吸引中心是城市。流动人口已成为我国城市人口改变的主要要素。流动人口区域不均衡性进一步加强，聚散态势日益明显，流动强度与城市等级存在正相关，一、二线城市依然是流动人口的极化中心。读图，完成下面小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238750" cy="1753618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753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据图，2011--2017年流动人口流动特征的描述，可能正确的是（   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流动范围与距离衰减呈正相关，而与城市等级无明显关系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省际流动人口主要集中于中西部经济不太发达的城市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省内跨市流动人口主要集中在东部沿海经济发达的城市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市内跨县的流动人口主要分布在中小城市，吸引范围有限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读图，推测①②③线对应的流动人口正确的是（   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①—省内跨市②-省际③—市内跨县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①—市内跨县②—省内跨市③—省际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①—省际②—省内跨市③—市内跨县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①—省际②—市内跨县③—省内跨市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瑞典Y企业为全球最大的家居用品零售商，自创立以来一直秉承“为尽可能多的顾客提供能够负担、设计精良、功能齐全、价格低廉的家居用品”的经营宗旨，努力创造以客户和社会利益为中心的经营方式，致力于环保及社会责任问题，设计和销售包括座椅沙发、办公用品、卧室、厨房、纺织品、炊具、房屋储藏、儿童系列等能够平板包装、顾客自己能够组装的产品，共计约10000个，目前在全球50多个国家和地区拥有近400个商场。1998年进驻中国后，市场定位做了一定的调整，把目光投向了中国大城市中相对富裕的中产阶层，至2016年，在中国内地的零售商场达到19家。Y企业采用全球化的采购模式，产品通过贸易区域采购后运抵全球26个分销中心再送至全球的卖场。据此完成下面小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Y企业采用全球化的采购模式，其直接目的是（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降低成本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占领市场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方便配送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提高质量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eastAsia="宋体" w:hAnsi="宋体" w:cs="宋体"/>
          <w:color w:val="000000"/>
        </w:rPr>
        <w:t>Y企业进驻中国后，将产品的市场定位调整为中产阶层的主要原因是（   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>
            <wp:extent cx="31750" cy="88900"/>
            <wp:docPr id="10003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中国中产阶层人群比例最高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中国高档家居市场已经饱和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契合该企业制定的销售理念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中国低价家居品牌竞争激烈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eastAsia="宋体" w:hAnsi="宋体" w:cs="宋体"/>
          <w:color w:val="000000"/>
        </w:rPr>
        <w:t>Y企业的经营理念与发展对我国相关跨国企业“走出去”的借鉴意义有（   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①发展科技，生产高端商品，提高经济效益②招聘员工，大量布局线下实体专卖店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③建立独立的品牌文化与经营模式④了解当地消费习惯，适应市场需求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>
            <wp:extent cx="31750" cy="88900"/>
            <wp:docPr id="10002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①②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③④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①③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②④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产业辐射理论认为任何辐射都是双向的，辐射双方在合理分工基础上实现优势互补、资源共享，在合理配置资源的基础上提高经济的运行效率和发展速度。图示意天津市理论辐射区空间结构，最外围为理论范围边界。据此完成下面小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200525" cy="2990850"/>
            <wp:docPr id="10001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eastAsia="宋体" w:hAnsi="宋体" w:cs="宋体"/>
          <w:color w:val="000000"/>
        </w:rPr>
        <w:t>天津市的理论范围、产业辐射范围、交通辐射范围，它们之间的关系是（   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产业辐射范围大多是交通辐射范围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交通辐射范围大多是产业辐射范围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理论范围是交通辐射范围和产业辐射范围之和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产业辐射范围与交通辐射范围是割裂的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宋体" w:eastAsia="宋体" w:hAnsi="宋体" w:cs="宋体"/>
          <w:color w:val="000000"/>
        </w:rPr>
        <w:t>天津市理论范围、产业辐射范围、交通辐射范围的关系说明（   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核心城市全面带动周边区域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10003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发展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核心城市周边区县有可能产生发展滞后的现象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邻近核心城市的小城镇一定会得到优先发展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</w:t>
      </w:r>
      <w:r>
        <w:rPr>
          <w:color w:val="000000"/>
          <w:position w:val="-22"/>
        </w:rPr>
        <w:drawing>
          <wp:inline>
            <wp:extent cx="31750" cy="88900"/>
            <wp:docPr id="10003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小城镇竞争力一般大于核心城市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23. </w:t>
      </w:r>
      <w:r>
        <w:rPr>
          <w:rFonts w:ascii="宋体" w:eastAsia="宋体" w:hAnsi="宋体" w:cs="宋体"/>
          <w:color w:val="000000"/>
        </w:rPr>
        <w:t>交通辐射范围与产业辐射范围的城市化差异主要是（   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交通辐射范围城市化速度快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产业辐射范围城市化速度快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产业辐射范围都是城市用地规模的扩张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交通辐射范围都与交通用地规模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10002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扩张相关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二、综合题，本大题共3小题，共计54分。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24. </w:t>
      </w:r>
      <w:r>
        <w:rPr>
          <w:rFonts w:ascii="宋体" w:eastAsia="宋体" w:hAnsi="宋体" w:cs="宋体"/>
          <w:color w:val="000000"/>
        </w:rPr>
        <w:t>阅读图文材料，回答下列问题。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处于分水岭两侧的河流，由于侵蚀速度差异较大，其中侵蚀力的河流能够切穿分水岭，抢夺侵蚀力较弱的河流上游河段，这种河流水系演变的现象称为河流袭夺。河流袭夺对地貌发育以及人类迁徙等均有着重要的意义。汉江上游在地质历史时期发生过两次河流袭夺。第一次古汉江切穿西侧的分水岭，使汉中盆地的水系注入古汉江；第二次挤压脊隆起后南支流溯源切穿凤凰山袭夺汉江上游，使干流石泉一安康段成为汉江支流月河。下图示意汉江上游发生河流袭夺的水系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667125" cy="2209800"/>
            <wp:docPr id="10002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667125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指出第一次河流袭夺对古汉江水文水系特征的影响。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第二次河流袭夺后，南支流上普遍存在V形峡谷嵌套在宽浅河谷中的现象，试分析形成这种现象的过程。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分析汉江上游河流袭夺对该地区古人类生存和活动可能产生的影响。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25. </w:t>
      </w:r>
      <w:r>
        <w:rPr>
          <w:rFonts w:ascii="宋体" w:eastAsia="宋体" w:hAnsi="宋体" w:cs="宋体"/>
          <w:color w:val="000000"/>
        </w:rPr>
        <w:t>阅读材料，完成下列问题。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一：江苏省有着广阔滩涂，这得益于黄河、长江、淮河三条大河的贡献。黄河过去常改道。1855年后，黄河北移，重新开始了在山东的造地过程。同样是黄河参与塑造，江苏沿海平原土壤盐碱化程度却远低于山东沿海平原。下图为江苏省周围区域图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028950" cy="3028950"/>
            <wp:docPr id="10002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二：2021年12月交通运输部发布2021年1-11月全国港口货物吞吐量数据。货物吞吐量排名前十的港口中浙江宁波舟山港名列第一。拥有漫长海岸线的江苏却没有海港进入前十，仅苏州港（河港）以第六名进入前十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三：耐盐碱水稻俗称“海水稻”，比起普通水稻，海水稻具有抗渍涝、抗盐碱、抗倒伏、抗病虫害等优势。2020年，江苏如东入选袁隆平团队建立的海水稻试验示范种植基地。2021年秋，如东“超优千号”海水稻平均亩产超过802.9公斤，取得重大突破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分析与山东沿海平原相比，江苏沿海平原土壤盐碱化程度低的自然原因。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与浙江省相比，分析江苏省海港竞争力较弱的原因。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说明在江苏沿海滩涂种植海水稻过程中“藏粮于地”和“藏粮于技”的表现。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26. </w:t>
      </w:r>
      <w:r>
        <w:rPr>
          <w:rFonts w:ascii="宋体" w:eastAsia="宋体" w:hAnsi="宋体" w:cs="宋体"/>
          <w:color w:val="000000"/>
        </w:rPr>
        <w:t>阅读图文材料，完成下列问题。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一：江西省定南县是长江、珠江分水区，该县的生猪养殖产业占据该县农业总产值的“半壁江山”。2017年该县投资建设了养殖业粪污收集处理中心、有机肥处理中心和能源生态农场基地等，形成畜禽粪污全量化收集、资源化利用、矿山治理、生态农场一体化的新模式，下表是定南县2018-2020年三次产业结构占比情况（%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200525" cy="2876550"/>
            <wp:docPr id="10002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Normal"/>
        <w:tblW w:w="51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377"/>
        <w:gridCol w:w="1234"/>
        <w:gridCol w:w="1234"/>
        <w:gridCol w:w="1234"/>
      </w:tblGrid>
      <w:tr>
        <w:tblPrEx>
          <w:tblW w:w="510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75"/>
        </w:trPr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年份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2018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2019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2020</w:t>
            </w:r>
          </w:p>
        </w:tc>
      </w:tr>
      <w:tr>
        <w:tblPrEx>
          <w:tblW w:w="510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75"/>
        </w:trPr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第一产业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11.9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13.8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14.5</w:t>
            </w:r>
          </w:p>
        </w:tc>
      </w:tr>
      <w:tr>
        <w:tblPrEx>
          <w:tblW w:w="510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75"/>
        </w:trPr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第二产业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43.0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34.9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33.1</w:t>
            </w:r>
          </w:p>
        </w:tc>
      </w:tr>
      <w:tr>
        <w:tblPrEx>
          <w:tblW w:w="510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75"/>
        </w:trPr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第三产业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51.1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51.3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52.3</w:t>
            </w:r>
          </w:p>
        </w:tc>
      </w:tr>
    </w:tbl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材料二:相较与其他国际湾区，粤港澳大湾区煤炭和煤电所占比例较高，“弃煤择气”是碳减排的途径之一。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归纳定南县2018-2020年三次产业结构的变化特点，简析其原因。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分析定南县一体化新模式对当地农业可持续发展的推动作用。</w:t>
      </w:r>
    </w:p>
    <w:sectPr w:rsidSect="00C321EB">
      <w:pgSz w:w="11906" w:h="16838"/>
      <w:pgMar w:top="910" w:right="1080" w:bottom="1440" w:left="1080" w:header="152" w:footer="0" w:gutter="0"/>
      <w:pgNumType w:start="1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Preformatted" w:semiHidden="1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'1.0' encoding='UTF-8' standalone='yes'?>
<Relationships xmlns="http://schemas.openxmlformats.org/package/2006/relationships"><Relationship Id="rId1" Type="http://schemas.openxmlformats.org/officeDocument/2006/relationships/settings" Target="settings.xml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wmf"/><Relationship Id="rId15" Type="http://schemas.openxmlformats.org/officeDocument/2006/relationships/image" Target="media/image11.png"/><Relationship Id="rId16" Type="http://schemas.openxmlformats.org/officeDocument/2006/relationships/image" Target="media/image12.wmf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" Type="http://schemas.openxmlformats.org/officeDocument/2006/relationships/webSettings" Target="webSettings.xml"/><Relationship Id="rId20" Type="http://schemas.openxmlformats.org/officeDocument/2006/relationships/theme" Target="theme/theme1.xml"/><Relationship Id="rId21" Type="http://schemas.openxmlformats.org/officeDocument/2006/relationships/numbering" Target="numbering.xml"/><Relationship Id="rId22" Type="http://schemas.openxmlformats.org/officeDocument/2006/relationships/styles" Target="styles.xml"/><Relationship Id="rId3" Type="http://schemas.openxmlformats.org/officeDocument/2006/relationships/fontTable" Target="fontTable.xml"/><Relationship Id="rId4" Type="http://schemas.openxmlformats.org/officeDocument/2006/relationships/customXml" Target="../customXml/item1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590A68-9B32-4A13-894C-0880676F01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category/>
  <dc:description/>
  <cp:contentStatus/>
  <dc:identifier/>
  <cp:lastModifiedB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