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b/>
          <w:sz w:val="30"/>
          <w:szCs w:val="30"/>
        </w:rPr>
      </w:pPr>
      <w:r>
        <w:rPr>
          <w:rFonts w:hint="eastAsia"/>
          <w:b/>
          <w:sz w:val="30"/>
          <w:szCs w:val="30"/>
        </w:rPr>
        <w:drawing>
          <wp:anchor distT="0" distB="0" distL="114300" distR="114300" simplePos="0" relativeHeight="251659264" behindDoc="0" locked="0" layoutInCell="1" allowOverlap="1">
            <wp:simplePos x="0" y="0"/>
            <wp:positionH relativeFrom="page">
              <wp:posOffset>12687300</wp:posOffset>
            </wp:positionH>
            <wp:positionV relativeFrom="topMargin">
              <wp:posOffset>10553700</wp:posOffset>
            </wp:positionV>
            <wp:extent cx="393700" cy="482600"/>
            <wp:effectExtent l="0" t="0" r="6350" b="12700"/>
            <wp:wrapNone/>
            <wp:docPr id="100024" name="图片 100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4" name="图片 100024"/>
                    <pic:cNvPicPr>
                      <a:picLocks noChangeAspect="1"/>
                    </pic:cNvPicPr>
                  </pic:nvPicPr>
                  <pic:blipFill>
                    <a:blip r:embed="rId6"/>
                    <a:stretch>
                      <a:fillRect/>
                    </a:stretch>
                  </pic:blipFill>
                  <pic:spPr>
                    <a:xfrm>
                      <a:off x="0" y="0"/>
                      <a:ext cx="393700" cy="482600"/>
                    </a:xfrm>
                    <a:prstGeom prst="rect">
                      <a:avLst/>
                    </a:prstGeom>
                  </pic:spPr>
                </pic:pic>
              </a:graphicData>
            </a:graphic>
          </wp:anchor>
        </w:drawing>
      </w:r>
      <w:r>
        <w:rPr>
          <w:rFonts w:hint="eastAsia"/>
          <w:b/>
          <w:sz w:val="30"/>
          <w:szCs w:val="30"/>
        </w:rPr>
        <w:t>2022届省齐齐哈尔市高三第三次模拟考试</w:t>
      </w:r>
    </w:p>
    <w:p>
      <w:pPr>
        <w:jc w:val="center"/>
        <w:rPr>
          <w:b/>
          <w:sz w:val="30"/>
          <w:szCs w:val="30"/>
        </w:rPr>
      </w:pPr>
      <w:r>
        <w:rPr>
          <w:b/>
          <w:sz w:val="30"/>
          <w:szCs w:val="30"/>
        </w:rPr>
        <w:t>文科综合试卷</w:t>
      </w:r>
    </w:p>
    <w:p>
      <w:r>
        <w:pict>
          <v:rect id="_x0000_i1025" o:spt="1" style="height:1.5pt;width:438pt;" fillcolor="#000000" filled="t" stroked="f" coordsize="21600,21600" o:hr="t" o:hrstd="t" o:hrnoshade="t" o:hrpct="0" o:hralign="center">
            <v:path/>
            <v:fill on="t" focussize="0,0"/>
            <v:stroke on="f"/>
            <v:imagedata o:title=""/>
            <o:lock v:ext="edit"/>
            <w10:wrap type="none"/>
            <w10:anchorlock/>
          </v:rect>
        </w:pict>
      </w:r>
    </w:p>
    <w:p>
      <w:r>
        <w:t>考生注意：</w:t>
      </w:r>
    </w:p>
    <w:p>
      <w:r>
        <w:t>1．本试卷分选择题和非选择题两部分。满分300分，考试时间150分钟。</w:t>
      </w:r>
    </w:p>
    <w:p>
      <w:r>
        <w:t>2．答题前，考生务必用直径0.5毫米黑色墨水签字笔将密封线内项目填写清楚。</w:t>
      </w:r>
    </w:p>
    <w:p>
      <w:r>
        <w:t>3．考生作答时，请将答案答在答题卡上。选择题每小题选出答案后，用2B铅笔把答题卡上对应题目的答案标号涂黑；非选择题请用直径0.5毫米黑色墨水签字笔在答题卡上各题的答题区域内作答，，超出答题区域书写的答案无效，在试题卷、草稿纸上作答无效。</w:t>
      </w:r>
    </w:p>
    <w:p>
      <w:r>
        <w:t>4．本卷命题范围：高考范围。</w:t>
      </w:r>
    </w:p>
    <w:p>
      <w:pPr>
        <w:rPr>
          <w:b/>
        </w:rPr>
      </w:pPr>
      <w:r>
        <w:rPr>
          <w:b/>
        </w:rPr>
        <w:t>一、选择题：本题共35小题，每小题4分，共140分。在每小题给出的四个选项中，只有一项是符合题目要求的。</w:t>
      </w:r>
    </w:p>
    <w:p>
      <w:pPr>
        <w:ind w:firstLine="420" w:firstLineChars="200"/>
      </w:pPr>
      <w:r>
        <w:t>香港特别行政区的范围包括香港岛、九龙、新界以及周围262个岛屿，陆地总面积1106.66k㎡，海域面积1648.69k㎡，有“东方之珠”“世界三大夜景”美誉。维多利亚港是位于香港岛和九龙半岛之间的海港，港阔水深，下图示意维多利亚港及周围区域城市功能区空间分布。据此完成1～2题。</w:t>
      </w:r>
    </w:p>
    <w:p>
      <w:pPr>
        <w:jc w:val="center"/>
      </w:pPr>
      <w:r>
        <w:drawing>
          <wp:inline distT="0" distB="0" distL="0" distR="0">
            <wp:extent cx="2946400" cy="2159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2946400" cy="2159000"/>
                    </a:xfrm>
                    <a:prstGeom prst="rect">
                      <a:avLst/>
                    </a:prstGeom>
                  </pic:spPr>
                </pic:pic>
              </a:graphicData>
            </a:graphic>
          </wp:inline>
        </w:drawing>
      </w:r>
    </w:p>
    <w:p>
      <w:r>
        <w:t>1．香港特别行政区的崛起，主要得益于</w:t>
      </w:r>
    </w:p>
    <w:p>
      <w:r>
        <w:t>A.雄厚的业基础</w:t>
      </w:r>
      <w:r>
        <w:rPr>
          <w:rFonts w:hint="eastAsia"/>
        </w:rPr>
        <w:t xml:space="preserve">  </w:t>
      </w:r>
      <w:r>
        <w:t>B.丰富的旅游资源</w:t>
      </w:r>
      <w:r>
        <w:rPr>
          <w:rFonts w:hint="eastAsia"/>
        </w:rPr>
        <w:t xml:space="preserve">   </w:t>
      </w:r>
      <w:r>
        <w:t>C.优越的港口条件</w:t>
      </w:r>
      <w:r>
        <w:rPr>
          <w:rFonts w:hint="eastAsia"/>
        </w:rPr>
        <w:t xml:space="preserve"> </w:t>
      </w:r>
      <w:r>
        <w:t>D.适宜的气候条件</w:t>
      </w:r>
    </w:p>
    <w:p>
      <w:r>
        <w:t>2．影响维多利亚港及周围区域工业区布局的主要因素是</w:t>
      </w:r>
    </w:p>
    <w:p>
      <w:r>
        <w:rPr>
          <w:rFonts w:hint="eastAsia"/>
        </w:rPr>
        <w:t>A</w:t>
      </w:r>
      <w:r>
        <w:t>.交通</w:t>
      </w:r>
      <w:r>
        <w:tab/>
      </w:r>
      <w:r>
        <w:tab/>
      </w:r>
      <w:r>
        <w:tab/>
      </w:r>
      <w:r>
        <w:tab/>
      </w:r>
      <w:r>
        <w:tab/>
      </w:r>
      <w:r>
        <w:t>B.地租</w:t>
      </w:r>
      <w:r>
        <w:rPr>
          <w:rFonts w:hint="eastAsia"/>
        </w:rPr>
        <w:t xml:space="preserve">   </w:t>
      </w:r>
      <w:r>
        <w:t>C.劳动力</w:t>
      </w:r>
      <w:r>
        <w:tab/>
      </w:r>
      <w:r>
        <w:tab/>
      </w:r>
      <w:r>
        <w:tab/>
      </w:r>
      <w:r>
        <w:tab/>
      </w:r>
      <w:r>
        <w:tab/>
      </w:r>
      <w:r>
        <w:t>D.环境政策</w:t>
      </w:r>
    </w:p>
    <w:p>
      <w:pPr>
        <w:ind w:firstLine="315" w:firstLineChars="150"/>
        <w:rPr>
          <w:rFonts w:hint="eastAsia"/>
        </w:rPr>
      </w:pPr>
      <w:r>
        <w:t>在国家住建部首批公示的“中国传统村落”名录中，位于河南省西部的陕州区西张村镇的庙上村榜上有名。陕州区位于黄河南岸，隶属于三门峡市，区内黄土层厚约20～70m。下左图示意庙上村部分区域景观，下右图示意村民们居住的地坑四合院景观。村民在地坑院中繁衍生息，享受着平静的“地下生活”。据此完成3～4题。</w:t>
      </w:r>
    </w:p>
    <w:p>
      <w:pPr>
        <w:ind w:firstLine="315" w:firstLineChars="150"/>
      </w:pPr>
      <w:r>
        <w:drawing>
          <wp:inline distT="0" distB="0" distL="0" distR="0">
            <wp:extent cx="3848100" cy="1295400"/>
            <wp:effectExtent l="1905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8"/>
                    <a:stretch>
                      <a:fillRect/>
                    </a:stretch>
                  </pic:blipFill>
                  <pic:spPr>
                    <a:xfrm>
                      <a:off x="0" y="0"/>
                      <a:ext cx="3848100" cy="1295400"/>
                    </a:xfrm>
                    <a:prstGeom prst="rect">
                      <a:avLst/>
                    </a:prstGeom>
                    <a:noFill/>
                    <a:ln w="9525">
                      <a:noFill/>
                      <a:miter lim="800000"/>
                      <a:headEnd/>
                      <a:tailEnd/>
                    </a:ln>
                  </pic:spPr>
                </pic:pic>
              </a:graphicData>
            </a:graphic>
          </wp:inline>
        </w:drawing>
      </w:r>
    </w:p>
    <w:p>
      <w:r>
        <w:t>3．据庙上村的地坑四合院可推测当地</w:t>
      </w:r>
    </w:p>
    <w:p>
      <w:r>
        <w:t>A.土质干燥直立</w:t>
      </w:r>
      <w:r>
        <w:tab/>
      </w:r>
      <w:r>
        <w:tab/>
      </w:r>
      <w:r>
        <w:tab/>
      </w:r>
      <w:r>
        <w:tab/>
      </w:r>
      <w:r>
        <w:tab/>
      </w:r>
      <w:r>
        <w:tab/>
      </w:r>
      <w:r>
        <w:tab/>
      </w:r>
      <w:r>
        <w:tab/>
      </w:r>
      <w:r>
        <w:t>B.地表岩层坚硬</w:t>
      </w:r>
    </w:p>
    <w:p>
      <w:r>
        <w:t>C.气候温暖湿润</w:t>
      </w:r>
      <w:r>
        <w:tab/>
      </w:r>
      <w:r>
        <w:tab/>
      </w:r>
      <w:r>
        <w:tab/>
      </w:r>
      <w:r>
        <w:tab/>
      </w:r>
      <w:r>
        <w:tab/>
      </w:r>
      <w:r>
        <w:tab/>
      </w:r>
      <w:r>
        <w:tab/>
      </w:r>
      <w:r>
        <w:tab/>
      </w:r>
      <w:r>
        <w:t>D.地下水较丰富</w:t>
      </w:r>
    </w:p>
    <w:p>
      <w:r>
        <w:t>4．当地主要的风俗文化最可能是</w:t>
      </w:r>
    </w:p>
    <w:p>
      <w:r>
        <w:t>A.以当地所产大米为主食</w:t>
      </w:r>
      <w:r>
        <w:tab/>
      </w:r>
      <w:r>
        <w:tab/>
      </w:r>
      <w:r>
        <w:tab/>
      </w:r>
      <w:r>
        <w:tab/>
      </w:r>
      <w:r>
        <w:tab/>
      </w:r>
      <w:r>
        <w:tab/>
      </w:r>
      <w:r>
        <w:t>B.墙壁上多悬挂玉米</w:t>
      </w:r>
    </w:p>
    <w:p>
      <w:r>
        <w:t>C.村民多食用自制菜籽油</w:t>
      </w:r>
      <w:r>
        <w:tab/>
      </w:r>
      <w:r>
        <w:tab/>
      </w:r>
      <w:r>
        <w:tab/>
      </w:r>
      <w:r>
        <w:tab/>
      </w:r>
      <w:r>
        <w:tab/>
      </w:r>
      <w:r>
        <w:tab/>
      </w:r>
      <w:r>
        <w:t>D.出行多以船只为主</w:t>
      </w:r>
    </w:p>
    <w:p>
      <w:r>
        <w:t>1899年江苏南通建成我国第一家民营纺织企业-大生纱厂，历经一个多世纪，南通已成为衣被所及遍天下的“家纺帝国”。现在南通家纺企业发展直播电商的“宅经济”，积极探索“网络达人-直播-电商”的新型销售模式。下图示意南通纺织发展历程。据此完成5～6题。</w:t>
      </w:r>
    </w:p>
    <w:p>
      <w:r>
        <w:drawing>
          <wp:inline distT="0" distB="0" distL="0" distR="0">
            <wp:extent cx="4467225" cy="542925"/>
            <wp:effectExtent l="19050" t="0" r="9525"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9"/>
                    <a:stretch>
                      <a:fillRect/>
                    </a:stretch>
                  </pic:blipFill>
                  <pic:spPr>
                    <a:xfrm>
                      <a:off x="0" y="0"/>
                      <a:ext cx="4467225" cy="542925"/>
                    </a:xfrm>
                    <a:prstGeom prst="rect">
                      <a:avLst/>
                    </a:prstGeom>
                    <a:noFill/>
                    <a:ln w="9525">
                      <a:noFill/>
                      <a:miter lim="800000"/>
                      <a:headEnd/>
                      <a:tailEnd/>
                    </a:ln>
                  </pic:spPr>
                </pic:pic>
              </a:graphicData>
            </a:graphic>
          </wp:inline>
        </w:drawing>
      </w:r>
    </w:p>
    <w:p>
      <w:r>
        <w:t>5．对于南通纺织发展历程，概括最准确的是</w:t>
      </w:r>
    </w:p>
    <w:p>
      <w:r>
        <w:t>A.扩大丝绸服装制造业，形成规模优势</w:t>
      </w:r>
      <w:r>
        <w:tab/>
      </w:r>
      <w:r>
        <w:tab/>
      </w:r>
      <w:r>
        <w:tab/>
      </w:r>
      <w:r>
        <w:t>B.不断新增产品种类，培育新的产业链</w:t>
      </w:r>
    </w:p>
    <w:p>
      <w:r>
        <w:t>C.产业部门不断增加，生产成本不断提高</w:t>
      </w:r>
      <w:r>
        <w:tab/>
      </w:r>
      <w:r>
        <w:tab/>
      </w:r>
      <w:r>
        <w:t>D.基于棉蚕，科技为先，形成多元化产业</w:t>
      </w:r>
    </w:p>
    <w:p>
      <w:r>
        <w:t>6．南通家企业积极探索“网络达人一直播一电商”的新型销售模式，其主要影响有</w:t>
      </w:r>
    </w:p>
    <w:p>
      <w:r>
        <w:rPr>
          <w:rFonts w:hint="eastAsia" w:ascii="宋体" w:hAnsi="宋体" w:cs="宋体"/>
        </w:rPr>
        <w:t>①</w:t>
      </w:r>
      <w:r>
        <w:t xml:space="preserve">生产规模扩大 </w:t>
      </w:r>
      <w:r>
        <w:rPr>
          <w:rFonts w:hint="eastAsia" w:ascii="宋体" w:hAnsi="宋体" w:cs="宋体"/>
        </w:rPr>
        <w:t>②</w:t>
      </w:r>
      <w:r>
        <w:t xml:space="preserve">线下门店大量关闭 </w:t>
      </w:r>
      <w:r>
        <w:rPr>
          <w:rFonts w:hint="eastAsia" w:ascii="宋体" w:hAnsi="宋体" w:cs="宋体"/>
        </w:rPr>
        <w:t>③</w:t>
      </w:r>
      <w:r>
        <w:t xml:space="preserve">资金回笼迅速 </w:t>
      </w:r>
      <w:r>
        <w:rPr>
          <w:rFonts w:hint="eastAsia" w:ascii="宋体" w:hAnsi="宋体" w:cs="宋体"/>
        </w:rPr>
        <w:t>④</w:t>
      </w:r>
      <w:r>
        <w:t>减少宣传投入成本</w:t>
      </w:r>
    </w:p>
    <w:p>
      <w:r>
        <w:t>A.</w:t>
      </w:r>
      <w:r>
        <w:rPr>
          <w:rFonts w:hint="eastAsia" w:ascii="宋体" w:hAnsi="宋体" w:cs="宋体"/>
        </w:rPr>
        <w:t>①②</w:t>
      </w:r>
      <w:r>
        <w:tab/>
      </w:r>
      <w:r>
        <w:tab/>
      </w:r>
      <w:r>
        <w:tab/>
      </w:r>
      <w:r>
        <w:tab/>
      </w:r>
      <w:r>
        <w:tab/>
      </w:r>
      <w:r>
        <w:tab/>
      </w:r>
      <w:r>
        <w:tab/>
      </w:r>
      <w:r>
        <w:tab/>
      </w:r>
      <w:r>
        <w:tab/>
      </w:r>
      <w:r>
        <w:t>B.</w:t>
      </w:r>
      <w:r>
        <w:rPr>
          <w:rFonts w:hint="eastAsia" w:ascii="宋体" w:hAnsi="宋体" w:cs="宋体"/>
        </w:rPr>
        <w:t>①③</w:t>
      </w:r>
    </w:p>
    <w:p>
      <w:r>
        <w:t>C.</w:t>
      </w:r>
      <w:r>
        <w:rPr>
          <w:rFonts w:hint="eastAsia" w:ascii="宋体" w:hAnsi="宋体" w:cs="宋体"/>
        </w:rPr>
        <w:t>②④</w:t>
      </w:r>
      <w:r>
        <w:tab/>
      </w:r>
      <w:r>
        <w:tab/>
      </w:r>
      <w:r>
        <w:tab/>
      </w:r>
      <w:r>
        <w:tab/>
      </w:r>
      <w:r>
        <w:tab/>
      </w:r>
      <w:r>
        <w:tab/>
      </w:r>
      <w:r>
        <w:tab/>
      </w:r>
      <w:r>
        <w:tab/>
      </w:r>
      <w:r>
        <w:tab/>
      </w:r>
      <w:r>
        <w:t>D.</w:t>
      </w:r>
      <w:r>
        <w:rPr>
          <w:rFonts w:hint="eastAsia" w:ascii="宋体" w:hAnsi="宋体" w:cs="宋体"/>
        </w:rPr>
        <w:t>③④</w:t>
      </w:r>
    </w:p>
    <w:p>
      <w:r>
        <w:t>某学校组织学生对直立物日影变化进行观测，具体做法是：先在一块平坦的地面上直立一根标杆，再以此杆直立点（甲）为圆心，以杆长为半径绘一半圆。下图示意某日杆影变化，图中阴影部分为标杆影子范围。据此完成7～8题。</w:t>
      </w:r>
    </w:p>
    <w:p>
      <w:r>
        <w:drawing>
          <wp:inline distT="0" distB="0" distL="0" distR="0">
            <wp:extent cx="1609725" cy="790575"/>
            <wp:effectExtent l="19050" t="0" r="9525"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10"/>
                    <a:stretch>
                      <a:fillRect/>
                    </a:stretch>
                  </pic:blipFill>
                  <pic:spPr>
                    <a:xfrm>
                      <a:off x="0" y="0"/>
                      <a:ext cx="1609725" cy="790575"/>
                    </a:xfrm>
                    <a:prstGeom prst="rect">
                      <a:avLst/>
                    </a:prstGeom>
                    <a:noFill/>
                    <a:ln w="9525">
                      <a:noFill/>
                      <a:miter lim="800000"/>
                      <a:headEnd/>
                      <a:tailEnd/>
                    </a:ln>
                  </pic:spPr>
                </pic:pic>
              </a:graphicData>
            </a:graphic>
          </wp:inline>
        </w:drawing>
      </w:r>
    </w:p>
    <w:p>
      <w:r>
        <w:t>7．甲地最可能位于</w:t>
      </w:r>
      <w:r>
        <w:tab/>
      </w:r>
      <w:r>
        <w:tab/>
      </w:r>
      <w:r>
        <w:tab/>
      </w:r>
      <w:r>
        <w:tab/>
      </w:r>
      <w:r>
        <w:tab/>
      </w:r>
      <w:r>
        <w:tab/>
      </w:r>
      <w:r>
        <w:tab/>
      </w:r>
      <w:r>
        <w:tab/>
      </w:r>
    </w:p>
    <w:p>
      <w:r>
        <w:t>A.索马里半岛</w:t>
      </w:r>
      <w:r>
        <w:tab/>
      </w:r>
      <w:r>
        <w:tab/>
      </w:r>
      <w:r>
        <w:tab/>
      </w:r>
      <w:r>
        <w:rPr>
          <w:rFonts w:hint="eastAsia"/>
        </w:rPr>
        <w:t xml:space="preserve">          </w:t>
      </w:r>
      <w:r>
        <w:t>B.东北平原</w:t>
      </w:r>
      <w:r>
        <w:tab/>
      </w:r>
      <w:r>
        <w:tab/>
      </w:r>
      <w:r>
        <w:t>C.巴塔哥尼亚高原</w:t>
      </w:r>
      <w:r>
        <w:rPr>
          <w:rFonts w:hint="eastAsia"/>
        </w:rPr>
        <w:t xml:space="preserve">       </w:t>
      </w:r>
      <w:r>
        <w:t>D.大自流盆地</w:t>
      </w:r>
    </w:p>
    <w:p>
      <w:r>
        <w:t>8．图示时间内最可能出现的是</w:t>
      </w:r>
      <w:r>
        <w:tab/>
      </w:r>
      <w:r>
        <w:tab/>
      </w:r>
      <w:r>
        <w:tab/>
      </w:r>
      <w:r>
        <w:tab/>
      </w:r>
      <w:r>
        <w:tab/>
      </w:r>
      <w:r>
        <w:t>B.北极圈内出现极昼</w:t>
      </w:r>
    </w:p>
    <w:p>
      <w:r>
        <w:t>A.北京大雪纷飞</w:t>
      </w:r>
      <w:r>
        <w:tab/>
      </w:r>
      <w:r>
        <w:tab/>
      </w:r>
      <w:r>
        <w:tab/>
      </w:r>
      <w:r>
        <w:tab/>
      </w:r>
      <w:r>
        <w:tab/>
      </w:r>
      <w:r>
        <w:tab/>
      </w:r>
      <w:r>
        <w:tab/>
      </w:r>
      <w:r>
        <w:tab/>
      </w:r>
      <w:r>
        <w:t>D.南极圈内昼夜等长</w:t>
      </w:r>
    </w:p>
    <w:p>
      <w:r>
        <w:t>C.罗马炎热干燥</w:t>
      </w:r>
    </w:p>
    <w:p>
      <w:pPr>
        <w:rPr>
          <w:rFonts w:hint="eastAsia"/>
        </w:rPr>
      </w:pPr>
      <w:r>
        <w:t>下图示意某大洲某月份大气环流状况，据此完成9～11题。</w:t>
      </w:r>
    </w:p>
    <w:p>
      <w:r>
        <w:drawing>
          <wp:inline distT="0" distB="0" distL="0" distR="0">
            <wp:extent cx="3495675" cy="981075"/>
            <wp:effectExtent l="19050" t="0" r="9525"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noChangeArrowheads="1"/>
                    </pic:cNvPicPr>
                  </pic:nvPicPr>
                  <pic:blipFill>
                    <a:blip r:embed="rId11"/>
                    <a:stretch>
                      <a:fillRect/>
                    </a:stretch>
                  </pic:blipFill>
                  <pic:spPr>
                    <a:xfrm>
                      <a:off x="0" y="0"/>
                      <a:ext cx="3495675" cy="981075"/>
                    </a:xfrm>
                    <a:prstGeom prst="rect">
                      <a:avLst/>
                    </a:prstGeom>
                    <a:noFill/>
                    <a:ln w="9525">
                      <a:noFill/>
                      <a:miter lim="800000"/>
                      <a:headEnd/>
                      <a:tailEnd/>
                    </a:ln>
                  </pic:spPr>
                </pic:pic>
              </a:graphicData>
            </a:graphic>
          </wp:inline>
        </w:drawing>
      </w:r>
    </w:p>
    <w:p>
      <w:r>
        <w:t>9．该月份最有可能发生的现象是</w:t>
      </w:r>
    </w:p>
    <w:p>
      <w:r>
        <w:t>A.澳大利亚西北部地区降水稀少</w:t>
      </w:r>
      <w:r>
        <w:tab/>
      </w:r>
      <w:r>
        <w:tab/>
      </w:r>
      <w:r>
        <w:tab/>
      </w:r>
      <w:r>
        <w:tab/>
      </w:r>
      <w:r>
        <w:t>B.马达加斯加岛东侧草木枯黄</w:t>
      </w:r>
    </w:p>
    <w:p>
      <w:r>
        <w:t>C.巴西高原大部分地区草木茂盛</w:t>
      </w:r>
      <w:r>
        <w:tab/>
      </w:r>
      <w:r>
        <w:tab/>
      </w:r>
      <w:r>
        <w:tab/>
      </w:r>
      <w:r>
        <w:tab/>
      </w:r>
      <w:r>
        <w:t>D.马来群岛大部分地区干旱少雨</w:t>
      </w:r>
    </w:p>
    <w:p>
      <w:r>
        <w:t>10．该大陆赤道附近东部与西部气候差异显著，根本原因是大陆东部</w:t>
      </w:r>
    </w:p>
    <w:p>
      <w:r>
        <w:t>A.常年受信风带控制降水少</w:t>
      </w:r>
      <w:r>
        <w:tab/>
      </w:r>
      <w:r>
        <w:tab/>
      </w:r>
      <w:r>
        <w:tab/>
      </w:r>
      <w:r>
        <w:tab/>
      </w:r>
      <w:r>
        <w:tab/>
      </w:r>
      <w:r>
        <w:t>B.多裂谷分布，焚风效应显著</w:t>
      </w:r>
    </w:p>
    <w:p>
      <w:r>
        <w:t>C.地势较高对流运动不显著</w:t>
      </w:r>
      <w:r>
        <w:tab/>
      </w:r>
      <w:r>
        <w:tab/>
      </w:r>
      <w:r>
        <w:tab/>
      </w:r>
      <w:r>
        <w:tab/>
      </w:r>
      <w:r>
        <w:tab/>
      </w:r>
      <w:r>
        <w:t>D.常年受沿岸寒流影响降水少</w:t>
      </w:r>
    </w:p>
    <w:p>
      <w:r>
        <w:t>11．对气压带、风带季节移动影响最大的是</w:t>
      </w:r>
    </w:p>
    <w:p>
      <w:r>
        <w:t>A.日地距离变化</w:t>
      </w:r>
      <w:r>
        <w:tab/>
      </w:r>
      <w:r>
        <w:tab/>
      </w:r>
      <w:r>
        <w:t>B.月地距离变化</w:t>
      </w:r>
      <w:r>
        <w:tab/>
      </w:r>
      <w:r>
        <w:t>C.太阳活动频率</w:t>
      </w:r>
      <w:r>
        <w:tab/>
      </w:r>
      <w:r>
        <w:t>D.我国季节变化</w:t>
      </w:r>
    </w:p>
    <w:p>
      <w:r>
        <w:drawing>
          <wp:anchor distT="0" distB="0" distL="114300" distR="114300" simplePos="0" relativeHeight="251660288" behindDoc="1" locked="0" layoutInCell="1" allowOverlap="1">
            <wp:simplePos x="0" y="0"/>
            <wp:positionH relativeFrom="column">
              <wp:posOffset>4238625</wp:posOffset>
            </wp:positionH>
            <wp:positionV relativeFrom="paragraph">
              <wp:posOffset>144780</wp:posOffset>
            </wp:positionV>
            <wp:extent cx="1457325" cy="1143000"/>
            <wp:effectExtent l="19050" t="0" r="9525" b="0"/>
            <wp:wrapTight wrapText="bothSides">
              <wp:wrapPolygon>
                <wp:start x="-282" y="0"/>
                <wp:lineTo x="-282" y="21240"/>
                <wp:lineTo x="21741" y="21240"/>
                <wp:lineTo x="21741" y="0"/>
                <wp:lineTo x="-282" y="0"/>
              </wp:wrapPolygon>
            </wp:wrapTight>
            <wp:docPr id="5"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1"/>
                    <pic:cNvPicPr>
                      <a:picLocks noChangeAspect="1" noChangeArrowheads="1"/>
                    </pic:cNvPicPr>
                  </pic:nvPicPr>
                  <pic:blipFill>
                    <a:blip r:embed="rId12"/>
                    <a:stretch>
                      <a:fillRect/>
                    </a:stretch>
                  </pic:blipFill>
                  <pic:spPr>
                    <a:xfrm>
                      <a:off x="0" y="0"/>
                      <a:ext cx="1457325" cy="1143000"/>
                    </a:xfrm>
                    <a:prstGeom prst="rect">
                      <a:avLst/>
                    </a:prstGeom>
                    <a:noFill/>
                    <a:ln w="9525">
                      <a:noFill/>
                      <a:miter lim="800000"/>
                      <a:headEnd/>
                      <a:tailEnd/>
                    </a:ln>
                  </pic:spPr>
                </pic:pic>
              </a:graphicData>
            </a:graphic>
          </wp:anchor>
        </w:drawing>
      </w:r>
      <w:r>
        <w:t>12．右图是反映甲国近年的市场供应量和利率变化情况（箭头指向反映</w:t>
      </w:r>
    </w:p>
    <w:p>
      <w:r>
        <w:t>变化趋势；r为市场利率，MS是货币供给，MD是既定物价时的货币</w:t>
      </w:r>
    </w:p>
    <w:p>
      <w:r>
        <w:t>需求），下列说法正确的是</w:t>
      </w:r>
    </w:p>
    <w:p>
      <w:r>
        <w:rPr>
          <w:rFonts w:hint="eastAsia" w:ascii="宋体" w:hAnsi="宋体" w:cs="宋体"/>
        </w:rPr>
        <w:t>①</w:t>
      </w:r>
      <w:r>
        <w:t>该国实行比较宽松的货币政策</w:t>
      </w:r>
    </w:p>
    <w:p>
      <w:r>
        <w:rPr>
          <w:rFonts w:hint="eastAsia" w:ascii="宋体" w:hAnsi="宋体" w:cs="宋体"/>
        </w:rPr>
        <w:t>②</w:t>
      </w:r>
      <w:r>
        <w:t>有利于缓解企业融资难的问题</w:t>
      </w:r>
    </w:p>
    <w:p>
      <w:r>
        <w:rPr>
          <w:rFonts w:hint="eastAsia" w:ascii="宋体" w:hAnsi="宋体" w:cs="宋体"/>
        </w:rPr>
        <w:t>③</w:t>
      </w:r>
      <w:r>
        <w:t>税率降低有利于降低企业成本</w:t>
      </w:r>
    </w:p>
    <w:p>
      <w:r>
        <w:rPr>
          <w:rFonts w:hint="eastAsia" w:ascii="宋体" w:hAnsi="宋体" w:cs="宋体"/>
        </w:rPr>
        <w:t>④</w:t>
      </w:r>
      <w:r>
        <w:t>保证了产业链、供应链的畅通</w:t>
      </w:r>
    </w:p>
    <w:p>
      <w:r>
        <w:t>A.</w:t>
      </w:r>
      <w:r>
        <w:rPr>
          <w:rFonts w:hint="eastAsia" w:ascii="宋体" w:hAnsi="宋体" w:cs="宋体"/>
        </w:rPr>
        <w:t>①②</w:t>
      </w:r>
      <w:r>
        <w:tab/>
      </w:r>
      <w:r>
        <w:tab/>
      </w:r>
      <w:r>
        <w:tab/>
      </w:r>
      <w:r>
        <w:tab/>
      </w:r>
      <w:r>
        <w:t>B.</w:t>
      </w:r>
      <w:r>
        <w:rPr>
          <w:rFonts w:hint="eastAsia" w:ascii="宋体" w:hAnsi="宋体" w:cs="宋体"/>
        </w:rPr>
        <w:t>①④</w:t>
      </w:r>
      <w:r>
        <w:tab/>
      </w:r>
      <w:r>
        <w:tab/>
      </w:r>
      <w:r>
        <w:tab/>
      </w:r>
      <w:r>
        <w:tab/>
      </w:r>
      <w:r>
        <w:t>C.</w:t>
      </w:r>
      <w:r>
        <w:rPr>
          <w:rFonts w:hint="eastAsia" w:ascii="宋体" w:hAnsi="宋体" w:cs="宋体"/>
        </w:rPr>
        <w:t>②③</w:t>
      </w:r>
      <w:r>
        <w:tab/>
      </w:r>
      <w:r>
        <w:tab/>
      </w:r>
      <w:r>
        <w:tab/>
      </w:r>
      <w:r>
        <w:tab/>
      </w:r>
      <w:r>
        <w:t>D.</w:t>
      </w:r>
      <w:r>
        <w:rPr>
          <w:rFonts w:hint="eastAsia" w:ascii="宋体" w:hAnsi="宋体" w:cs="宋体"/>
        </w:rPr>
        <w:t>③④</w:t>
      </w:r>
    </w:p>
    <w:p>
      <w:r>
        <w:t>13．首届“粤港澳大湾区购物节”通过全网直播的方式，与广大消费者共同见证购物节盛大启幕。各大电商平台、商家都为此次购物节制定了力度大、内容丰富的优惠方案。消费者在相关电商平台“大湾区购物节”专区可享受各电商平台和商家提供的多项优惠，足不出户尽享湾区购物喜悦。该活动</w:t>
      </w:r>
    </w:p>
    <w:p>
      <w:pPr>
        <w:rPr>
          <w:rFonts w:hint="eastAsia"/>
        </w:rPr>
      </w:pPr>
      <w:r>
        <w:rPr>
          <w:rFonts w:hint="eastAsia"/>
        </w:rPr>
        <w:t>①有利于丰富消费者的消费体验 ②推动了当地供给侧结构性改革③能促进消费结构的升级和完善 ④有利于推动济发展方式转变</w:t>
      </w:r>
    </w:p>
    <w:p>
      <w:r>
        <w:rPr>
          <w:rFonts w:hint="eastAsia"/>
        </w:rPr>
        <w:t>A.①③</w:t>
      </w:r>
      <w:r>
        <w:rPr>
          <w:rFonts w:hint="eastAsia"/>
        </w:rPr>
        <w:tab/>
      </w:r>
      <w:r>
        <w:rPr>
          <w:rFonts w:hint="eastAsia"/>
        </w:rPr>
        <w:tab/>
      </w:r>
      <w:r>
        <w:rPr>
          <w:rFonts w:hint="eastAsia"/>
        </w:rPr>
        <w:tab/>
      </w:r>
      <w:r>
        <w:rPr>
          <w:rFonts w:hint="eastAsia"/>
        </w:rPr>
        <w:tab/>
      </w:r>
      <w:r>
        <w:rPr>
          <w:rFonts w:hint="eastAsia"/>
        </w:rPr>
        <w:t>B.①④</w:t>
      </w:r>
      <w:r>
        <w:t>C.</w:t>
      </w:r>
      <w:r>
        <w:rPr>
          <w:rFonts w:hint="eastAsia" w:ascii="宋体" w:hAnsi="宋体" w:cs="宋体"/>
        </w:rPr>
        <w:t>②③</w:t>
      </w:r>
      <w:r>
        <w:tab/>
      </w:r>
      <w:r>
        <w:tab/>
      </w:r>
      <w:r>
        <w:tab/>
      </w:r>
      <w:r>
        <w:tab/>
      </w:r>
      <w:r>
        <w:t>D.</w:t>
      </w:r>
      <w:r>
        <w:rPr>
          <w:rFonts w:hint="eastAsia" w:ascii="宋体" w:hAnsi="宋体" w:cs="宋体"/>
        </w:rPr>
        <w:t>②④</w:t>
      </w:r>
    </w:p>
    <w:p>
      <w:r>
        <w:t>14.2022年1月5日，国务院发布《知识产权强国建设纲要和“十四五”规划实施年度推进计划》，其中明确了“十四五”时期知识产权司法保护的重点工作举措，将加强反垄断和反不正当竞争案件审理工作，适时制定有关司法解释。此举有利于</w:t>
      </w:r>
    </w:p>
    <w:p>
      <w:r>
        <w:rPr>
          <w:rFonts w:hint="eastAsia" w:ascii="宋体" w:hAnsi="宋体" w:cs="宋体"/>
        </w:rPr>
        <w:t>①</w:t>
      </w:r>
      <w:r>
        <w:t xml:space="preserve">发挥市场在资源配置中的决定性作用 </w:t>
      </w:r>
      <w:r>
        <w:rPr>
          <w:rFonts w:hint="eastAsia" w:ascii="宋体" w:hAnsi="宋体" w:cs="宋体"/>
        </w:rPr>
        <w:t>②</w:t>
      </w:r>
      <w:r>
        <w:t xml:space="preserve">夯实知识要素在要素市场中的基础地位 </w:t>
      </w:r>
      <w:r>
        <w:rPr>
          <w:rFonts w:hint="eastAsia" w:ascii="宋体" w:hAnsi="宋体" w:cs="宋体"/>
        </w:rPr>
        <w:t>③</w:t>
      </w:r>
      <w:r>
        <w:t>进</w:t>
      </w:r>
    </w:p>
    <w:p>
      <w:r>
        <w:t xml:space="preserve">一步规范我国有关市场主体的行为 </w:t>
      </w:r>
      <w:r>
        <w:rPr>
          <w:rFonts w:hint="eastAsia" w:ascii="宋体" w:hAnsi="宋体" w:cs="宋体"/>
        </w:rPr>
        <w:t>④</w:t>
      </w:r>
      <w:r>
        <w:t>促进我国社会公平以及分配体系的完善</w:t>
      </w:r>
    </w:p>
    <w:p>
      <w:r>
        <w:t>A.</w:t>
      </w:r>
      <w:r>
        <w:rPr>
          <w:rFonts w:hint="eastAsia" w:ascii="宋体" w:hAnsi="宋体" w:cs="宋体"/>
        </w:rPr>
        <w:t>①②</w:t>
      </w:r>
      <w:r>
        <w:tab/>
      </w:r>
      <w:r>
        <w:tab/>
      </w:r>
      <w:r>
        <w:tab/>
      </w:r>
      <w:r>
        <w:tab/>
      </w:r>
      <w:r>
        <w:t>B.</w:t>
      </w:r>
      <w:r>
        <w:rPr>
          <w:rFonts w:hint="eastAsia" w:ascii="宋体" w:hAnsi="宋体" w:cs="宋体"/>
        </w:rPr>
        <w:t>①③</w:t>
      </w:r>
      <w:r>
        <w:tab/>
      </w:r>
      <w:r>
        <w:tab/>
      </w:r>
      <w:r>
        <w:tab/>
      </w:r>
      <w:r>
        <w:tab/>
      </w:r>
      <w:r>
        <w:t>C.</w:t>
      </w:r>
      <w:r>
        <w:rPr>
          <w:rFonts w:hint="eastAsia" w:ascii="宋体" w:hAnsi="宋体" w:cs="宋体"/>
        </w:rPr>
        <w:t>②④</w:t>
      </w:r>
      <w:r>
        <w:tab/>
      </w:r>
      <w:r>
        <w:tab/>
      </w:r>
      <w:r>
        <w:tab/>
      </w:r>
      <w:r>
        <w:tab/>
      </w:r>
      <w:r>
        <w:t>D.</w:t>
      </w:r>
      <w:r>
        <w:rPr>
          <w:rFonts w:hint="eastAsia" w:ascii="宋体" w:hAnsi="宋体" w:cs="宋体"/>
        </w:rPr>
        <w:t>③④</w:t>
      </w:r>
    </w:p>
    <w:p>
      <w:pPr>
        <w:rPr>
          <w:rFonts w:hint="eastAsia"/>
        </w:rPr>
      </w:pPr>
      <w:r>
        <w:t>15．为了了解我国经济对外发展状况，小张同学在网上收集了相关资料：</w:t>
      </w:r>
    </w:p>
    <w:p>
      <w:r>
        <w:drawing>
          <wp:inline distT="0" distB="0" distL="0" distR="0">
            <wp:extent cx="4629150" cy="2009775"/>
            <wp:effectExtent l="1905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noChangeArrowheads="1"/>
                    </pic:cNvPicPr>
                  </pic:nvPicPr>
                  <pic:blipFill>
                    <a:blip r:embed="rId13"/>
                    <a:stretch>
                      <a:fillRect/>
                    </a:stretch>
                  </pic:blipFill>
                  <pic:spPr>
                    <a:xfrm>
                      <a:off x="0" y="0"/>
                      <a:ext cx="4629150" cy="2009775"/>
                    </a:xfrm>
                    <a:prstGeom prst="rect">
                      <a:avLst/>
                    </a:prstGeom>
                    <a:noFill/>
                    <a:ln w="9525">
                      <a:noFill/>
                      <a:miter lim="800000"/>
                      <a:headEnd/>
                      <a:tailEnd/>
                    </a:ln>
                  </pic:spPr>
                </pic:pic>
              </a:graphicData>
            </a:graphic>
          </wp:inline>
        </w:drawing>
      </w:r>
    </w:p>
    <w:p>
      <w:r>
        <w:t>根据资料，下列分析正确的是</w:t>
      </w:r>
    </w:p>
    <w:p>
      <w:r>
        <w:t>A.我国对外贸易结构进一步持续优化</w:t>
      </w:r>
      <w:r>
        <w:tab/>
      </w:r>
      <w:r>
        <w:tab/>
      </w:r>
      <w:r>
        <w:tab/>
      </w:r>
      <w:r>
        <w:t>B.我国外向型经济获得了跨越式发展</w:t>
      </w:r>
    </w:p>
    <w:p>
      <w:r>
        <w:t>C.我国进口贸易和出口贸易总体均衡</w:t>
      </w:r>
      <w:r>
        <w:tab/>
      </w:r>
      <w:r>
        <w:tab/>
      </w:r>
      <w:r>
        <w:tab/>
      </w:r>
      <w:r>
        <w:t>D.我国对外投资处于持续增长的状态</w:t>
      </w:r>
    </w:p>
    <w:p>
      <w:r>
        <w:t>16．《厦门经济特区优化营商环境条例》于2021年12月31日经厦门市第十五届人民代表大会常务委员会第四十八次会议通过，自2022年3月1日起施行。该条例的通过</w:t>
      </w:r>
    </w:p>
    <w:p>
      <w:r>
        <w:rPr>
          <w:rFonts w:hint="eastAsia" w:ascii="宋体" w:hAnsi="宋体" w:cs="宋体"/>
        </w:rPr>
        <w:t>①</w:t>
      </w:r>
      <w:r>
        <w:t xml:space="preserve">是地方人大行使监督权的具体体现 </w:t>
      </w:r>
      <w:r>
        <w:rPr>
          <w:rFonts w:hint="eastAsia" w:ascii="宋体" w:hAnsi="宋体" w:cs="宋体"/>
        </w:rPr>
        <w:t>②</w:t>
      </w:r>
      <w:r>
        <w:t xml:space="preserve">为当地营商环境优化提供法律保障 </w:t>
      </w:r>
      <w:r>
        <w:rPr>
          <w:rFonts w:hint="eastAsia" w:ascii="宋体" w:hAnsi="宋体" w:cs="宋体"/>
        </w:rPr>
        <w:t>③</w:t>
      </w:r>
      <w:r>
        <w:t>是地方人</w:t>
      </w:r>
    </w:p>
    <w:p>
      <w:r>
        <w:t xml:space="preserve">大行使立法权的具体体现 </w:t>
      </w:r>
      <w:r>
        <w:rPr>
          <w:rFonts w:hint="eastAsia" w:ascii="宋体" w:hAnsi="宋体" w:cs="宋体"/>
        </w:rPr>
        <w:t>④</w:t>
      </w:r>
      <w:r>
        <w:t>发挥了地方人大专门委员会的作用</w:t>
      </w:r>
      <w:r>
        <w:tab/>
      </w:r>
      <w:r>
        <w:tab/>
      </w:r>
    </w:p>
    <w:p>
      <w:r>
        <w:t>A.</w:t>
      </w:r>
      <w:r>
        <w:rPr>
          <w:rFonts w:hint="eastAsia" w:ascii="宋体" w:hAnsi="宋体" w:cs="宋体"/>
        </w:rPr>
        <w:t>①②</w:t>
      </w:r>
      <w:r>
        <w:tab/>
      </w:r>
      <w:r>
        <w:tab/>
      </w:r>
      <w:r>
        <w:tab/>
      </w:r>
      <w:r>
        <w:tab/>
      </w:r>
      <w:r>
        <w:t>B.</w:t>
      </w:r>
      <w:r>
        <w:rPr>
          <w:rFonts w:hint="eastAsia" w:ascii="宋体" w:hAnsi="宋体" w:cs="宋体"/>
        </w:rPr>
        <w:t>①④</w:t>
      </w:r>
      <w:r>
        <w:tab/>
      </w:r>
      <w:r>
        <w:tab/>
      </w:r>
      <w:r>
        <w:tab/>
      </w:r>
      <w:r>
        <w:tab/>
      </w:r>
      <w:r>
        <w:t>C.</w:t>
      </w:r>
      <w:r>
        <w:rPr>
          <w:rFonts w:hint="eastAsia" w:ascii="宋体" w:hAnsi="宋体" w:cs="宋体"/>
        </w:rPr>
        <w:t xml:space="preserve">②③      </w:t>
      </w:r>
      <w:r>
        <w:t>D.</w:t>
      </w:r>
      <w:r>
        <w:rPr>
          <w:rFonts w:hint="eastAsia" w:ascii="宋体" w:hAnsi="宋体" w:cs="宋体"/>
        </w:rPr>
        <w:t>③④</w:t>
      </w:r>
    </w:p>
    <w:p>
      <w:r>
        <w:t>17．为深入学习贯彻习近平总书记关于共同富裕的重要论述精神，全面落实省委高质量发展建设共同富裕示范区的重大战略部署，浙江台州市三门县率先在全省开展少数民族共同富裕行动，打造“民族齐富”工程，着力推进本地区各民族实现共同富裕。实施该行动，是基于</w:t>
      </w:r>
      <w:r>
        <w:rPr>
          <w:rFonts w:hint="eastAsia" w:ascii="宋体" w:hAnsi="宋体" w:cs="宋体"/>
        </w:rPr>
        <w:t>①</w:t>
      </w:r>
      <w:r>
        <w:t xml:space="preserve">已形成的平等团结互助和谐的民族关系 </w:t>
      </w:r>
      <w:r>
        <w:rPr>
          <w:rFonts w:hint="eastAsia" w:ascii="宋体" w:hAnsi="宋体" w:cs="宋体"/>
        </w:rPr>
        <w:t>②</w:t>
      </w:r>
      <w:r>
        <w:t xml:space="preserve">实行自治地方依法享有充分的自治权 </w:t>
      </w:r>
      <w:r>
        <w:rPr>
          <w:rFonts w:hint="eastAsia" w:ascii="宋体" w:hAnsi="宋体" w:cs="宋体"/>
        </w:rPr>
        <w:t>③</w:t>
      </w:r>
      <w:r>
        <w:t>铸</w:t>
      </w:r>
    </w:p>
    <w:p>
      <w:r>
        <w:t xml:space="preserve">牢中华民族共同体意识的现实需要 </w:t>
      </w:r>
      <w:r>
        <w:rPr>
          <w:rFonts w:hint="eastAsia" w:ascii="宋体" w:hAnsi="宋体" w:cs="宋体"/>
        </w:rPr>
        <w:t>④</w:t>
      </w:r>
      <w:r>
        <w:t>实行有中国特色的民族区域自治制度</w:t>
      </w:r>
    </w:p>
    <w:p>
      <w:r>
        <w:t>A.</w:t>
      </w:r>
      <w:r>
        <w:rPr>
          <w:rFonts w:hint="eastAsia" w:ascii="宋体" w:hAnsi="宋体" w:cs="宋体"/>
        </w:rPr>
        <w:t>①②</w:t>
      </w:r>
      <w:r>
        <w:tab/>
      </w:r>
      <w:r>
        <w:tab/>
      </w:r>
      <w:r>
        <w:tab/>
      </w:r>
      <w:r>
        <w:tab/>
      </w:r>
      <w:r>
        <w:tab/>
      </w:r>
      <w:r>
        <w:t>B.</w:t>
      </w:r>
      <w:r>
        <w:rPr>
          <w:rFonts w:hint="eastAsia" w:ascii="宋体" w:hAnsi="宋体" w:cs="宋体"/>
        </w:rPr>
        <w:t>①③</w:t>
      </w:r>
      <w:r>
        <w:tab/>
      </w:r>
      <w:r>
        <w:tab/>
      </w:r>
      <w:r>
        <w:tab/>
      </w:r>
      <w:r>
        <w:tab/>
      </w:r>
      <w:r>
        <w:t>C.</w:t>
      </w:r>
      <w:r>
        <w:rPr>
          <w:rFonts w:hint="eastAsia" w:ascii="宋体" w:hAnsi="宋体" w:cs="宋体"/>
        </w:rPr>
        <w:t>②④</w:t>
      </w:r>
      <w:r>
        <w:tab/>
      </w:r>
      <w:r>
        <w:tab/>
      </w:r>
      <w:r>
        <w:tab/>
      </w:r>
      <w:r>
        <w:tab/>
      </w:r>
      <w:r>
        <w:t>D.</w:t>
      </w:r>
      <w:r>
        <w:rPr>
          <w:rFonts w:hint="eastAsia" w:ascii="宋体" w:hAnsi="宋体" w:cs="宋体"/>
        </w:rPr>
        <w:t>③④</w:t>
      </w:r>
    </w:p>
    <w:p>
      <w:r>
        <w:t>18.2021年是中国东盟建立对话关系30周年。30年来，双方政治互信不断加强，务实合作硕果累累，人文交流更加密切，中国东盟关系已成为亚太区域合作中最为成功和最具活力的典范，成为推动构建人类命运共同体的生动例证。这表明</w:t>
      </w:r>
    </w:p>
    <w:p>
      <w:r>
        <w:rPr>
          <w:rFonts w:hint="eastAsia" w:ascii="宋体" w:hAnsi="宋体" w:cs="宋体"/>
        </w:rPr>
        <w:t>①</w:t>
      </w:r>
      <w:r>
        <w:t xml:space="preserve">和平与发展仍旧是当今时代主题 </w:t>
      </w:r>
      <w:r>
        <w:rPr>
          <w:rFonts w:hint="eastAsia" w:ascii="宋体" w:hAnsi="宋体" w:cs="宋体"/>
        </w:rPr>
        <w:t>②</w:t>
      </w:r>
      <w:r>
        <w:t xml:space="preserve">世界多极化已经不可阻挡、不可逆转 </w:t>
      </w:r>
      <w:r>
        <w:rPr>
          <w:rFonts w:hint="eastAsia" w:ascii="宋体" w:hAnsi="宋体" w:cs="宋体"/>
        </w:rPr>
        <w:t>③</w:t>
      </w:r>
      <w:r>
        <w:t xml:space="preserve">我国和东盟存在广泛的共同利益 </w:t>
      </w:r>
      <w:r>
        <w:rPr>
          <w:rFonts w:hint="eastAsia" w:ascii="宋体" w:hAnsi="宋体" w:cs="宋体"/>
        </w:rPr>
        <w:t>④</w:t>
      </w:r>
      <w:r>
        <w:t>国家间共同利益是国际关系决定因素</w:t>
      </w:r>
    </w:p>
    <w:p>
      <w:r>
        <w:t>A.</w:t>
      </w:r>
      <w:r>
        <w:rPr>
          <w:rFonts w:hint="eastAsia" w:ascii="宋体" w:hAnsi="宋体" w:cs="宋体"/>
        </w:rPr>
        <w:t>①③</w:t>
      </w:r>
      <w:r>
        <w:tab/>
      </w:r>
      <w:r>
        <w:tab/>
      </w:r>
      <w:r>
        <w:tab/>
      </w:r>
      <w:r>
        <w:tab/>
      </w:r>
      <w:r>
        <w:t>B.</w:t>
      </w:r>
      <w:r>
        <w:rPr>
          <w:rFonts w:hint="eastAsia" w:ascii="宋体" w:hAnsi="宋体" w:cs="宋体"/>
        </w:rPr>
        <w:t>①④</w:t>
      </w:r>
      <w:r>
        <w:tab/>
      </w:r>
      <w:r>
        <w:tab/>
      </w:r>
      <w:r>
        <w:tab/>
      </w:r>
      <w:r>
        <w:tab/>
      </w:r>
      <w:r>
        <w:t>C.</w:t>
      </w:r>
      <w:r>
        <w:rPr>
          <w:rFonts w:hint="eastAsia" w:ascii="宋体" w:hAnsi="宋体" w:cs="宋体"/>
        </w:rPr>
        <w:t>②③</w:t>
      </w:r>
      <w:r>
        <w:tab/>
      </w:r>
      <w:r>
        <w:tab/>
      </w:r>
      <w:r>
        <w:tab/>
      </w:r>
      <w:r>
        <w:tab/>
      </w:r>
      <w:r>
        <w:t>D.</w:t>
      </w:r>
      <w:r>
        <w:rPr>
          <w:rFonts w:hint="eastAsia" w:ascii="宋体" w:hAnsi="宋体" w:cs="宋体"/>
        </w:rPr>
        <w:t>②④</w:t>
      </w:r>
    </w:p>
    <w:p>
      <w:r>
        <w:t>19．巧妙蕴含中华文化的冬奥场馆，活泼敦厚的“冰墩墩”，喜庆祥和的“雪容融”，扑面而来的中国年味儿，香喷喷的豆包······回味这些令人印象深刻的冬奥细节，无不包含着中国文化的传递。因有中国传统文化的唯美加持，冬奥会附着了显著的中国光晕，打破了中西方的文化界限，也解除了西方人对中国文化的戒备。由此可见</w:t>
      </w:r>
    </w:p>
    <w:p>
      <w:r>
        <w:rPr>
          <w:rFonts w:hint="eastAsia" w:ascii="宋体" w:hAnsi="宋体" w:cs="宋体"/>
        </w:rPr>
        <w:t>①</w:t>
      </w:r>
      <w:r>
        <w:t xml:space="preserve">本届冬奥会以完美说教形式诠释中国精神 </w:t>
      </w:r>
      <w:r>
        <w:rPr>
          <w:rFonts w:hint="eastAsia" w:ascii="宋体" w:hAnsi="宋体" w:cs="宋体"/>
        </w:rPr>
        <w:t>②</w:t>
      </w:r>
      <w:r>
        <w:t>博大精深的中华文化得到生动唯美的演绎</w:t>
      </w:r>
    </w:p>
    <w:p>
      <w:r>
        <w:rPr>
          <w:rFonts w:hint="eastAsia" w:ascii="宋体" w:hAnsi="宋体" w:cs="宋体"/>
        </w:rPr>
        <w:t>③</w:t>
      </w:r>
      <w:r>
        <w:t xml:space="preserve">文化自信的中国推动世界更加多元包容发展 </w:t>
      </w:r>
      <w:r>
        <w:rPr>
          <w:rFonts w:hint="eastAsia" w:ascii="宋体" w:hAnsi="宋体" w:cs="宋体"/>
        </w:rPr>
        <w:t>④</w:t>
      </w:r>
      <w:r>
        <w:t>北京冬奥会是奥运史上最具文化风格的赛事</w:t>
      </w:r>
    </w:p>
    <w:p>
      <w:r>
        <w:t>A.</w:t>
      </w:r>
      <w:r>
        <w:rPr>
          <w:rFonts w:hint="eastAsia" w:ascii="宋体" w:hAnsi="宋体" w:cs="宋体"/>
        </w:rPr>
        <w:t>①②</w:t>
      </w:r>
      <w:r>
        <w:tab/>
      </w:r>
      <w:r>
        <w:tab/>
      </w:r>
      <w:r>
        <w:tab/>
      </w:r>
      <w:r>
        <w:tab/>
      </w:r>
      <w:r>
        <w:t>B.</w:t>
      </w:r>
      <w:r>
        <w:rPr>
          <w:rFonts w:hint="eastAsia" w:ascii="宋体" w:hAnsi="宋体" w:cs="宋体"/>
        </w:rPr>
        <w:t>①④</w:t>
      </w:r>
      <w:r>
        <w:tab/>
      </w:r>
      <w:r>
        <w:tab/>
      </w:r>
      <w:r>
        <w:tab/>
      </w:r>
      <w:r>
        <w:tab/>
      </w:r>
      <w:r>
        <w:t>C.</w:t>
      </w:r>
      <w:r>
        <w:rPr>
          <w:rFonts w:hint="eastAsia" w:ascii="宋体" w:hAnsi="宋体" w:cs="宋体"/>
        </w:rPr>
        <w:t>②③</w:t>
      </w:r>
      <w:r>
        <w:tab/>
      </w:r>
      <w:r>
        <w:tab/>
      </w:r>
      <w:r>
        <w:tab/>
      </w:r>
      <w:r>
        <w:tab/>
      </w:r>
      <w:r>
        <w:t>D.</w:t>
      </w:r>
      <w:r>
        <w:rPr>
          <w:rFonts w:hint="eastAsia" w:ascii="宋体" w:hAnsi="宋体" w:cs="宋体"/>
        </w:rPr>
        <w:t>③④</w:t>
      </w:r>
    </w:p>
    <w:p>
      <w:r>
        <w:t>20．首届“中国网络文明大会”于2021年11月19日在北京国家会议中心开幕。本届中国网络文明大会以“汇聚向上向善力量，携手建设网络文明”为主题，定位于打造我国网络文明的理念宣介平台、经验交流平台、成果展示平台和国际网络文明互鉴平台。首届“中国网络文明大会”的召开</w:t>
      </w:r>
    </w:p>
    <w:p>
      <w:r>
        <w:rPr>
          <w:rFonts w:hint="eastAsia" w:ascii="宋体" w:hAnsi="宋体" w:cs="宋体"/>
        </w:rPr>
        <w:t>①</w:t>
      </w:r>
      <w:r>
        <w:t xml:space="preserve">会助力我国精神文明发展 </w:t>
      </w:r>
      <w:r>
        <w:rPr>
          <w:rFonts w:hint="eastAsia" w:ascii="宋体" w:hAnsi="宋体" w:cs="宋体"/>
        </w:rPr>
        <w:t>②</w:t>
      </w:r>
      <w:r>
        <w:t xml:space="preserve">能促进我国思想道德建设 </w:t>
      </w:r>
      <w:r>
        <w:rPr>
          <w:rFonts w:hint="eastAsia" w:ascii="宋体" w:hAnsi="宋体" w:cs="宋体"/>
        </w:rPr>
        <w:t>③</w:t>
      </w:r>
      <w:r>
        <w:t>可以推动大众文化的创新</w:t>
      </w:r>
    </w:p>
    <w:p>
      <w:r>
        <w:rPr>
          <w:rFonts w:hint="eastAsia" w:ascii="宋体" w:hAnsi="宋体" w:cs="宋体"/>
        </w:rPr>
        <w:t>④</w:t>
      </w:r>
      <w:r>
        <w:t>旨在增强我国文化产业活力</w:t>
      </w:r>
      <w:r>
        <w:tab/>
      </w:r>
      <w:r>
        <w:tab/>
      </w:r>
      <w:r>
        <w:tab/>
      </w:r>
      <w:r>
        <w:tab/>
      </w:r>
      <w:r>
        <w:tab/>
      </w:r>
    </w:p>
    <w:p>
      <w:r>
        <w:t>A.</w:t>
      </w:r>
      <w:r>
        <w:rPr>
          <w:rFonts w:hint="eastAsia" w:ascii="宋体" w:hAnsi="宋体" w:cs="宋体"/>
        </w:rPr>
        <w:t>①②</w:t>
      </w:r>
      <w:r>
        <w:tab/>
      </w:r>
      <w:r>
        <w:tab/>
      </w:r>
      <w:r>
        <w:tab/>
      </w:r>
      <w:r>
        <w:tab/>
      </w:r>
      <w:r>
        <w:t>B.</w:t>
      </w:r>
      <w:r>
        <w:rPr>
          <w:rFonts w:hint="eastAsia" w:ascii="宋体" w:hAnsi="宋体" w:cs="宋体"/>
        </w:rPr>
        <w:t xml:space="preserve">①③    </w:t>
      </w:r>
      <w:r>
        <w:t>C.</w:t>
      </w:r>
      <w:r>
        <w:rPr>
          <w:rFonts w:hint="eastAsia" w:ascii="宋体" w:hAnsi="宋体" w:cs="宋体"/>
        </w:rPr>
        <w:t>②④</w:t>
      </w:r>
      <w:r>
        <w:tab/>
      </w:r>
      <w:r>
        <w:tab/>
      </w:r>
      <w:r>
        <w:tab/>
      </w:r>
      <w:r>
        <w:tab/>
      </w:r>
      <w:r>
        <w:t>D.</w:t>
      </w:r>
      <w:r>
        <w:rPr>
          <w:rFonts w:hint="eastAsia" w:ascii="宋体" w:hAnsi="宋体" w:cs="宋体"/>
        </w:rPr>
        <w:t>③④</w:t>
      </w:r>
    </w:p>
    <w:p>
      <w:r>
        <w:t>21．从武汉保卫战的应急阶段，到常态化疫情防控，再到迎战德尔塔、奥密克戎的全链条精准防控······回顾两年多来的抗疫历程，我国的防控举措、诊疗方案根据疫情形势变化不断优化调整。实施“动态清零”总方针，正是与传播力强的变异株多次殊死较量后的有效应对策略。这一总方针的提出，坚持了</w:t>
      </w:r>
    </w:p>
    <w:p>
      <w:r>
        <w:rPr>
          <w:rFonts w:hint="eastAsia" w:ascii="宋体" w:hAnsi="宋体" w:cs="宋体"/>
        </w:rPr>
        <w:t>①</w:t>
      </w:r>
      <w:r>
        <w:t xml:space="preserve">一切以时间、地点、条件为转移 </w:t>
      </w:r>
      <w:r>
        <w:rPr>
          <w:rFonts w:hint="eastAsia" w:ascii="宋体" w:hAnsi="宋体" w:cs="宋体"/>
        </w:rPr>
        <w:t>②</w:t>
      </w:r>
      <w:r>
        <w:t xml:space="preserve">主观思想要和客观实际相吻合 </w:t>
      </w:r>
      <w:r>
        <w:rPr>
          <w:rFonts w:hint="eastAsia" w:ascii="宋体" w:hAnsi="宋体" w:cs="宋体"/>
        </w:rPr>
        <w:t>③</w:t>
      </w:r>
      <w:r>
        <w:t>意识在改造世界中</w:t>
      </w:r>
    </w:p>
    <w:p>
      <w:r>
        <w:t xml:space="preserve">的正确指导作用 </w:t>
      </w:r>
      <w:r>
        <w:rPr>
          <w:rFonts w:hint="eastAsia" w:ascii="宋体" w:hAnsi="宋体" w:cs="宋体"/>
        </w:rPr>
        <w:t>④</w:t>
      </w:r>
      <w:r>
        <w:t>在把握量变的基础上实现质变</w:t>
      </w:r>
      <w:r>
        <w:tab/>
      </w:r>
      <w:r>
        <w:tab/>
      </w:r>
      <w:r>
        <w:tab/>
      </w:r>
      <w:r>
        <w:tab/>
      </w:r>
      <w:r>
        <w:tab/>
      </w:r>
    </w:p>
    <w:p>
      <w:r>
        <w:t>A.</w:t>
      </w:r>
      <w:r>
        <w:rPr>
          <w:rFonts w:hint="eastAsia" w:ascii="宋体" w:hAnsi="宋体" w:cs="宋体"/>
        </w:rPr>
        <w:t>①②</w:t>
      </w:r>
      <w:r>
        <w:tab/>
      </w:r>
      <w:r>
        <w:tab/>
      </w:r>
      <w:r>
        <w:tab/>
      </w:r>
      <w:r>
        <w:tab/>
      </w:r>
      <w:r>
        <w:t>B.</w:t>
      </w:r>
      <w:r>
        <w:rPr>
          <w:rFonts w:hint="eastAsia" w:ascii="宋体" w:hAnsi="宋体" w:cs="宋体"/>
        </w:rPr>
        <w:t>①④</w:t>
      </w:r>
      <w:r>
        <w:tab/>
      </w:r>
      <w:r>
        <w:tab/>
      </w:r>
      <w:r>
        <w:tab/>
      </w:r>
      <w:r>
        <w:tab/>
      </w:r>
      <w:r>
        <w:t>C.</w:t>
      </w:r>
      <w:r>
        <w:rPr>
          <w:rFonts w:hint="eastAsia" w:ascii="宋体" w:hAnsi="宋体" w:cs="宋体"/>
        </w:rPr>
        <w:t xml:space="preserve">②③        </w:t>
      </w:r>
      <w:r>
        <w:t>D.</w:t>
      </w:r>
      <w:r>
        <w:rPr>
          <w:rFonts w:hint="eastAsia" w:ascii="宋体" w:hAnsi="宋体" w:cs="宋体"/>
        </w:rPr>
        <w:t>③④</w:t>
      </w:r>
    </w:p>
    <w:p>
      <w:pPr>
        <w:rPr>
          <w:rFonts w:hint="eastAsia"/>
        </w:rPr>
      </w:pPr>
      <w:r>
        <w:t>22．下列名言警句和漫画《事出有因》的哲学启示相一致的是</w:t>
      </w:r>
    </w:p>
    <w:p>
      <w:r>
        <w:drawing>
          <wp:inline distT="0" distB="0" distL="0" distR="0">
            <wp:extent cx="2390775" cy="1390650"/>
            <wp:effectExtent l="19050" t="0" r="9525"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14"/>
                    <a:stretch>
                      <a:fillRect/>
                    </a:stretch>
                  </pic:blipFill>
                  <pic:spPr>
                    <a:xfrm>
                      <a:off x="0" y="0"/>
                      <a:ext cx="2390775" cy="1390650"/>
                    </a:xfrm>
                    <a:prstGeom prst="rect">
                      <a:avLst/>
                    </a:prstGeom>
                    <a:noFill/>
                    <a:ln w="9525">
                      <a:noFill/>
                      <a:miter lim="800000"/>
                      <a:headEnd/>
                      <a:tailEnd/>
                    </a:ln>
                  </pic:spPr>
                </pic:pic>
              </a:graphicData>
            </a:graphic>
          </wp:inline>
        </w:drawing>
      </w:r>
    </w:p>
    <w:p>
      <w:r>
        <w:rPr>
          <w:rFonts w:hint="eastAsia" w:ascii="宋体" w:hAnsi="宋体" w:cs="宋体"/>
        </w:rPr>
        <w:t>①</w:t>
      </w:r>
      <w:r>
        <w:t xml:space="preserve">假作真时真亦假，无为有处有还无 </w:t>
      </w:r>
      <w:r>
        <w:rPr>
          <w:rFonts w:hint="eastAsia" w:ascii="宋体" w:hAnsi="宋体" w:cs="宋体"/>
        </w:rPr>
        <w:t>②</w:t>
      </w:r>
      <w:r>
        <w:t xml:space="preserve">知之为知之，不知为不知，是知也 </w:t>
      </w:r>
      <w:r>
        <w:rPr>
          <w:rFonts w:hint="eastAsia" w:ascii="宋体" w:hAnsi="宋体" w:cs="宋体"/>
        </w:rPr>
        <w:t>③</w:t>
      </w:r>
      <w:r>
        <w:t>人生至境真</w:t>
      </w:r>
    </w:p>
    <w:p>
      <w:r>
        <w:t xml:space="preserve">善美，亘古不易首为真 </w:t>
      </w:r>
      <w:r>
        <w:rPr>
          <w:rFonts w:hint="eastAsia" w:ascii="宋体" w:hAnsi="宋体" w:cs="宋体"/>
        </w:rPr>
        <w:t>④</w:t>
      </w:r>
      <w:r>
        <w:t>最是人间留不住，朱颜辞镜花辞树</w:t>
      </w:r>
      <w:r>
        <w:tab/>
      </w:r>
      <w:r>
        <w:tab/>
      </w:r>
      <w:r>
        <w:tab/>
      </w:r>
    </w:p>
    <w:p>
      <w:r>
        <w:rPr>
          <w:rFonts w:hint="eastAsia"/>
        </w:rPr>
        <w:t xml:space="preserve">A.①③      </w:t>
      </w:r>
      <w:r>
        <w:t>B.</w:t>
      </w:r>
      <w:r>
        <w:rPr>
          <w:rFonts w:hint="eastAsia" w:ascii="宋体" w:hAnsi="宋体" w:cs="宋体"/>
        </w:rPr>
        <w:t>①④</w:t>
      </w:r>
      <w:r>
        <w:tab/>
      </w:r>
      <w:r>
        <w:tab/>
      </w:r>
      <w:r>
        <w:tab/>
      </w:r>
      <w:r>
        <w:tab/>
      </w:r>
      <w:r>
        <w:t>C.</w:t>
      </w:r>
      <w:r>
        <w:rPr>
          <w:rFonts w:hint="eastAsia" w:ascii="宋体" w:hAnsi="宋体" w:cs="宋体"/>
        </w:rPr>
        <w:t xml:space="preserve">②③      </w:t>
      </w:r>
      <w:r>
        <w:t>D.</w:t>
      </w:r>
      <w:r>
        <w:rPr>
          <w:rFonts w:hint="eastAsia" w:ascii="宋体" w:hAnsi="宋体" w:cs="宋体"/>
        </w:rPr>
        <w:t>②④</w:t>
      </w:r>
    </w:p>
    <w:p>
      <w:r>
        <w:rPr>
          <w:rFonts w:hint="eastAsia"/>
        </w:rPr>
        <w:t>23．清明时节，空气温润，百花千卉共芬芳，目之所及，品读古人诗词，处处充满着生动的神采。</w:t>
      </w:r>
    </w:p>
    <w:tbl>
      <w:tblPr>
        <w:tblStyle w:val="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 w:type="dxa"/>
          <w:bottom w:w="0" w:type="dxa"/>
          <w:right w:w="10" w:type="dxa"/>
        </w:tblCellMar>
      </w:tblPr>
      <w:tblGrid>
        <w:gridCol w:w="1320"/>
        <w:gridCol w:w="47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80" w:hRule="atLeast"/>
        </w:trPr>
        <w:tc>
          <w:tcPr>
            <w:tcW w:w="1320" w:type="dxa"/>
            <w:vAlign w:val="center"/>
          </w:tcPr>
          <w:p>
            <w:r>
              <w:rPr>
                <w:rFonts w:hint="eastAsia"/>
              </w:rPr>
              <w:t>花的姿态</w:t>
            </w:r>
          </w:p>
        </w:tc>
        <w:tc>
          <w:tcPr>
            <w:tcW w:w="4780" w:type="dxa"/>
            <w:vAlign w:val="center"/>
          </w:tcPr>
          <w:p>
            <w:r>
              <w:rPr>
                <w:rFonts w:hint="eastAsia"/>
              </w:rPr>
              <w:t>诗人眼中的花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60" w:hRule="atLeast"/>
        </w:trPr>
        <w:tc>
          <w:tcPr>
            <w:tcW w:w="1320" w:type="dxa"/>
            <w:vAlign w:val="center"/>
          </w:tcPr>
          <w:p>
            <w:r>
              <w:rPr>
                <w:rFonts w:hint="eastAsia"/>
              </w:rPr>
              <w:t>海棠妩媚</w:t>
            </w:r>
          </w:p>
        </w:tc>
        <w:tc>
          <w:tcPr>
            <w:tcW w:w="4780" w:type="dxa"/>
            <w:vAlign w:val="center"/>
          </w:tcPr>
          <w:p>
            <w:r>
              <w:rPr>
                <w:rFonts w:hint="eastAsia"/>
              </w:rPr>
              <w:t>海棠不惜胭脂色，独立蒙蒙细雨中。-陈与义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60" w:hRule="atLeast"/>
        </w:trPr>
        <w:tc>
          <w:tcPr>
            <w:tcW w:w="1320" w:type="dxa"/>
            <w:vAlign w:val="center"/>
          </w:tcPr>
          <w:p>
            <w:r>
              <w:rPr>
                <w:rFonts w:hint="eastAsia"/>
              </w:rPr>
              <w:t>桐花娉婷</w:t>
            </w:r>
          </w:p>
        </w:tc>
        <w:tc>
          <w:tcPr>
            <w:tcW w:w="4780" w:type="dxa"/>
            <w:vAlign w:val="center"/>
          </w:tcPr>
          <w:p>
            <w:r>
              <w:rPr>
                <w:rFonts w:hint="eastAsia"/>
              </w:rPr>
              <w:t>桐花万里丹山路，雏凤清于老凤声。-李商隐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60" w:hRule="atLeast"/>
        </w:trPr>
        <w:tc>
          <w:tcPr>
            <w:tcW w:w="1320" w:type="dxa"/>
            <w:vAlign w:val="center"/>
          </w:tcPr>
          <w:p>
            <w:r>
              <w:rPr>
                <w:rFonts w:hint="eastAsia"/>
              </w:rPr>
              <w:t>樱花烂漫</w:t>
            </w:r>
          </w:p>
        </w:tc>
        <w:tc>
          <w:tcPr>
            <w:tcW w:w="4780" w:type="dxa"/>
            <w:vAlign w:val="center"/>
          </w:tcPr>
          <w:p>
            <w:r>
              <w:rPr>
                <w:rFonts w:hint="eastAsia"/>
              </w:rPr>
              <w:t>山深未必得春迟，处处山樱花压枝。-方岳</w:t>
            </w:r>
          </w:p>
        </w:tc>
      </w:tr>
    </w:tbl>
    <w:p>
      <w:r>
        <w:t>从上述诗句中我们品读到的哲理有</w:t>
      </w:r>
    </w:p>
    <w:p>
      <w:r>
        <w:rPr>
          <w:rFonts w:hint="eastAsia" w:ascii="宋体" w:hAnsi="宋体" w:cs="宋体"/>
        </w:rPr>
        <w:t>①</w:t>
      </w:r>
      <w:r>
        <w:t xml:space="preserve">海棠不惜胭脂色，包含了万物无相异的原理 </w:t>
      </w:r>
      <w:r>
        <w:rPr>
          <w:rFonts w:hint="eastAsia" w:ascii="宋体" w:hAnsi="宋体" w:cs="宋体"/>
        </w:rPr>
        <w:t>②</w:t>
      </w:r>
      <w:r>
        <w:t xml:space="preserve">雏清于老凤声，蕴含着对适度原则的追求 </w:t>
      </w:r>
      <w:r>
        <w:rPr>
          <w:rFonts w:hint="eastAsia" w:ascii="宋体" w:hAnsi="宋体" w:cs="宋体"/>
        </w:rPr>
        <w:t>③</w:t>
      </w:r>
      <w:r>
        <w:t xml:space="preserve">百花千卉共芬芳，说明了事物万变不离其宗 </w:t>
      </w:r>
      <w:r>
        <w:rPr>
          <w:rFonts w:hint="eastAsia" w:ascii="宋体" w:hAnsi="宋体" w:cs="宋体"/>
        </w:rPr>
        <w:t>④</w:t>
      </w:r>
      <w:r>
        <w:t>山深未必得春迟，体现出矛盾双方相互依存</w:t>
      </w:r>
      <w:r>
        <w:tab/>
      </w:r>
      <w:r>
        <w:tab/>
      </w:r>
      <w:r>
        <w:tab/>
      </w:r>
      <w:r>
        <w:tab/>
      </w:r>
    </w:p>
    <w:p>
      <w:r>
        <w:t>A.</w:t>
      </w:r>
      <w:r>
        <w:rPr>
          <w:rFonts w:hint="eastAsia" w:ascii="宋体" w:hAnsi="宋体" w:cs="宋体"/>
        </w:rPr>
        <w:t xml:space="preserve">①②       </w:t>
      </w:r>
      <w:r>
        <w:t>B.</w:t>
      </w:r>
      <w:r>
        <w:rPr>
          <w:rFonts w:hint="eastAsia" w:ascii="宋体" w:hAnsi="宋体" w:cs="宋体"/>
        </w:rPr>
        <w:t>①③</w:t>
      </w:r>
      <w:r>
        <w:tab/>
      </w:r>
      <w:r>
        <w:tab/>
      </w:r>
      <w:r>
        <w:tab/>
      </w:r>
      <w:r>
        <w:tab/>
      </w:r>
      <w:r>
        <w:t>C.</w:t>
      </w:r>
      <w:r>
        <w:rPr>
          <w:rFonts w:hint="eastAsia" w:ascii="宋体" w:hAnsi="宋体" w:cs="宋体"/>
        </w:rPr>
        <w:t>②④</w:t>
      </w:r>
      <w:r>
        <w:tab/>
      </w:r>
      <w:r>
        <w:tab/>
      </w:r>
      <w:r>
        <w:tab/>
      </w:r>
      <w:r>
        <w:tab/>
      </w:r>
      <w:r>
        <w:t>D.</w:t>
      </w:r>
      <w:r>
        <w:rPr>
          <w:rFonts w:hint="eastAsia" w:ascii="宋体" w:hAnsi="宋体" w:cs="宋体"/>
        </w:rPr>
        <w:t>③④</w:t>
      </w:r>
    </w:p>
    <w:p>
      <w:r>
        <w:t>24．《楚辞》对整个中国文化系统有着不同寻常的意义，其中大量的香草美人、神话人物、虬龙鸾凤，绝不是以意象本身的意义存在的，而是寄托着诗人的情感思想和精神。这些在后世的诗歌、小说、散文、戏剧中皆不同程度存在其身影。这表明《楚辞》</w:t>
      </w:r>
    </w:p>
    <w:p>
      <w:r>
        <w:t>A.呈现平民化和世俗化的趋势</w:t>
      </w:r>
      <w:r>
        <w:tab/>
      </w:r>
      <w:r>
        <w:tab/>
      </w:r>
      <w:r>
        <w:tab/>
      </w:r>
      <w:r>
        <w:tab/>
      </w:r>
      <w:r>
        <w:t>B.可用于证实周王权与神权相结合</w:t>
      </w:r>
    </w:p>
    <w:p>
      <w:r>
        <w:t>C.内容虚构对历史研究无价值</w:t>
      </w:r>
      <w:r>
        <w:tab/>
      </w:r>
      <w:r>
        <w:tab/>
      </w:r>
      <w:r>
        <w:tab/>
      </w:r>
      <w:r>
        <w:tab/>
      </w:r>
      <w:r>
        <w:t>D.是中国古代浪漫主义文学的源头</w:t>
      </w:r>
    </w:p>
    <w:p>
      <w:r>
        <w:t>25．一份统计资料显示，两晋南北朝由吏部“直接任命”而起家的人，约占总人仕者的半数；由察举和学校开始入仕者的占四分之一；州郡县吏积功升迁的占14％；公府掾属人仕的占1.2％。另一份资料也表明，两晋高级士族子弟由吏部铨选人仕的占50％。这说明两晋南北朝时期</w:t>
      </w:r>
    </w:p>
    <w:p>
      <w:r>
        <w:t>A.九品中正制成为选官方式首选</w:t>
      </w:r>
      <w:r>
        <w:tab/>
      </w:r>
      <w:r>
        <w:tab/>
      </w:r>
      <w:r>
        <w:tab/>
      </w:r>
      <w:r>
        <w:tab/>
      </w:r>
      <w:r>
        <w:t>B.选官权力逐渐走向集权化</w:t>
      </w:r>
    </w:p>
    <w:p>
      <w:r>
        <w:t>C.士族政治固化了社会阶层流动</w:t>
      </w:r>
      <w:r>
        <w:tab/>
      </w:r>
      <w:r>
        <w:tab/>
      </w:r>
      <w:r>
        <w:tab/>
      </w:r>
      <w:r>
        <w:tab/>
      </w:r>
      <w:r>
        <w:t>D.科举制度的端倪开始出现</w:t>
      </w:r>
    </w:p>
    <w:p>
      <w:r>
        <w:t>26．宋太祖时期，建立了由中书、枢密院“对持大柄”的二府制度。中书“为宰相治事之所”，枢密院掌“天下兵籍”。太宗淳化元年（990年），凡政事送中书，机事送枢密院，财货送三司。这说明宋初体制的演变特点是</w:t>
      </w:r>
      <w:r>
        <w:tab/>
      </w:r>
      <w:r>
        <w:tab/>
      </w:r>
      <w:r>
        <w:tab/>
      </w:r>
      <w:r>
        <w:tab/>
      </w:r>
      <w:r>
        <w:tab/>
      </w:r>
    </w:p>
    <w:p>
      <w:pPr>
        <w:rPr>
          <w:rFonts w:hint="eastAsia"/>
        </w:rPr>
      </w:pPr>
      <w:r>
        <w:t>A.事权分化，皇权加强</w:t>
      </w:r>
      <w:r>
        <w:tab/>
      </w:r>
      <w:r>
        <w:tab/>
      </w:r>
      <w:r>
        <w:tab/>
      </w:r>
      <w:r>
        <w:tab/>
      </w:r>
      <w:r>
        <w:tab/>
      </w:r>
      <w:r>
        <w:tab/>
      </w:r>
      <w:r>
        <w:t>B.军权独立，形成割据</w:t>
      </w:r>
    </w:p>
    <w:p>
      <w:r>
        <w:t>C.军政统一，效率提升</w:t>
      </w:r>
      <w:r>
        <w:rPr>
          <w:rFonts w:hint="eastAsia"/>
        </w:rPr>
        <w:t xml:space="preserve">                    </w:t>
      </w:r>
      <w:r>
        <w:t>D.吸取教训，重文轻武</w:t>
      </w:r>
    </w:p>
    <w:p>
      <w:r>
        <w:t>27．清代乾隆年间的《生意世事初阶》一书中将商贾之理财视为居家之急务，并与为官出仕、“出而裕国”相提并论，而《贸易须知》中更是希望学习者“研求温习，玩味熟思”，并把“异日有成，出人头地”的希望寄托于经商之上。这可用来说明当时</w:t>
      </w:r>
    </w:p>
    <w:p>
      <w:r>
        <w:t>A.工商皆本观念开始流行</w:t>
      </w:r>
      <w:r>
        <w:tab/>
      </w:r>
      <w:r>
        <w:tab/>
      </w:r>
      <w:r>
        <w:tab/>
      </w:r>
      <w:r>
        <w:tab/>
      </w:r>
      <w:r>
        <w:tab/>
      </w:r>
      <w:r>
        <w:t>B.社会结构发生了根本性的变化</w:t>
      </w:r>
    </w:p>
    <w:p>
      <w:r>
        <w:t>C.农本商末观念受到冲击</w:t>
      </w:r>
      <w:r>
        <w:tab/>
      </w:r>
      <w:r>
        <w:tab/>
      </w:r>
      <w:r>
        <w:tab/>
      </w:r>
      <w:r>
        <w:tab/>
      </w:r>
      <w:r>
        <w:tab/>
      </w:r>
      <w:r>
        <w:t>D.新商业伦理观的构建业已完成</w:t>
      </w:r>
    </w:p>
    <w:p>
      <w:r>
        <w:t>28．下表是1820～1911年间广东省沿海某乡居民离乡谋生统计情况。该地区居民离乡谋生情况的变化</w:t>
      </w:r>
    </w:p>
    <w:tbl>
      <w:tblPr>
        <w:tblStyle w:val="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 w:type="dxa"/>
          <w:bottom w:w="0" w:type="dxa"/>
          <w:right w:w="10" w:type="dxa"/>
        </w:tblCellMar>
      </w:tblPr>
      <w:tblGrid>
        <w:gridCol w:w="1480"/>
        <w:gridCol w:w="1100"/>
        <w:gridCol w:w="1100"/>
        <w:gridCol w:w="1680"/>
        <w:gridCol w:w="13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20" w:hRule="atLeast"/>
        </w:trPr>
        <w:tc>
          <w:tcPr>
            <w:tcW w:w="1480" w:type="dxa"/>
            <w:vAlign w:val="center"/>
          </w:tcPr>
          <w:p>
            <w:r>
              <w:rPr>
                <w:rFonts w:hint="eastAsia"/>
              </w:rPr>
              <w:t>时期</w:t>
            </w:r>
          </w:p>
        </w:tc>
        <w:tc>
          <w:tcPr>
            <w:tcW w:w="1100" w:type="dxa"/>
          </w:tcPr>
          <w:p>
            <w:r>
              <w:rPr>
                <w:rFonts w:hint="eastAsia"/>
              </w:rPr>
              <w:t>乡民迁出</w:t>
            </w:r>
          </w:p>
          <w:p>
            <w:r>
              <w:rPr>
                <w:rFonts w:hint="eastAsia"/>
              </w:rPr>
              <w:t>总人数</w:t>
            </w:r>
          </w:p>
        </w:tc>
        <w:tc>
          <w:tcPr>
            <w:tcW w:w="1100" w:type="dxa"/>
          </w:tcPr>
          <w:p>
            <w:r>
              <w:rPr>
                <w:rFonts w:hint="eastAsia"/>
              </w:rPr>
              <w:t>迁至他乡</w:t>
            </w:r>
          </w:p>
          <w:p>
            <w:r>
              <w:rPr>
                <w:rFonts w:hint="eastAsia"/>
              </w:rPr>
              <w:t>种田人数</w:t>
            </w:r>
          </w:p>
        </w:tc>
        <w:tc>
          <w:tcPr>
            <w:tcW w:w="1680" w:type="dxa"/>
          </w:tcPr>
          <w:p>
            <w:r>
              <w:rPr>
                <w:rFonts w:hint="eastAsia"/>
              </w:rPr>
              <w:t>迁至城镇做工或</w:t>
            </w:r>
          </w:p>
          <w:p>
            <w:r>
              <w:rPr>
                <w:rFonts w:hint="eastAsia"/>
              </w:rPr>
              <w:t>经营小商业人数</w:t>
            </w:r>
          </w:p>
        </w:tc>
        <w:tc>
          <w:tcPr>
            <w:tcW w:w="1320" w:type="dxa"/>
          </w:tcPr>
          <w:p>
            <w:r>
              <w:rPr>
                <w:rFonts w:hint="eastAsia"/>
              </w:rPr>
              <w:t>出国从事工</w:t>
            </w:r>
          </w:p>
          <w:p>
            <w:r>
              <w:rPr>
                <w:rFonts w:hint="eastAsia"/>
              </w:rPr>
              <w:t>商业人数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60" w:hRule="atLeast"/>
        </w:trPr>
        <w:tc>
          <w:tcPr>
            <w:tcW w:w="1480" w:type="dxa"/>
            <w:vAlign w:val="center"/>
          </w:tcPr>
          <w:p>
            <w:r>
              <w:rPr>
                <w:rFonts w:hint="eastAsia"/>
              </w:rPr>
              <w:t>1820～1849年</w:t>
            </w:r>
          </w:p>
        </w:tc>
        <w:tc>
          <w:tcPr>
            <w:tcW w:w="1100" w:type="dxa"/>
            <w:vAlign w:val="center"/>
          </w:tcPr>
          <w:p>
            <w:r>
              <w:rPr>
                <w:rFonts w:hint="eastAsia"/>
              </w:rPr>
              <w:t>29</w:t>
            </w:r>
          </w:p>
        </w:tc>
        <w:tc>
          <w:tcPr>
            <w:tcW w:w="1100" w:type="dxa"/>
            <w:vAlign w:val="center"/>
          </w:tcPr>
          <w:p>
            <w:r>
              <w:rPr>
                <w:rFonts w:hint="eastAsia"/>
              </w:rPr>
              <w:t>29</w:t>
            </w:r>
          </w:p>
        </w:tc>
        <w:tc>
          <w:tcPr>
            <w:tcW w:w="1680" w:type="dxa"/>
            <w:vAlign w:val="center"/>
          </w:tcPr>
          <w:p>
            <w:r>
              <w:rPr>
                <w:rFonts w:hint="eastAsia"/>
              </w:rPr>
              <w:t>0</w:t>
            </w:r>
          </w:p>
        </w:tc>
        <w:tc>
          <w:tcPr>
            <w:tcW w:w="1320" w:type="dxa"/>
            <w:vAlign w:val="center"/>
          </w:tcPr>
          <w:p>
            <w:r>
              <w:rPr>
                <w:rFonts w:hint="eastAsia"/>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60" w:hRule="atLeast"/>
        </w:trPr>
        <w:tc>
          <w:tcPr>
            <w:tcW w:w="1480" w:type="dxa"/>
            <w:vAlign w:val="center"/>
          </w:tcPr>
          <w:p>
            <w:r>
              <w:rPr>
                <w:rFonts w:hint="eastAsia"/>
              </w:rPr>
              <w:t>1850～1879年</w:t>
            </w:r>
          </w:p>
        </w:tc>
        <w:tc>
          <w:tcPr>
            <w:tcW w:w="1100" w:type="dxa"/>
            <w:vAlign w:val="center"/>
          </w:tcPr>
          <w:p>
            <w:r>
              <w:rPr>
                <w:rFonts w:hint="eastAsia"/>
              </w:rPr>
              <w:t>72</w:t>
            </w:r>
          </w:p>
        </w:tc>
        <w:tc>
          <w:tcPr>
            <w:tcW w:w="1100" w:type="dxa"/>
            <w:vAlign w:val="center"/>
          </w:tcPr>
          <w:p>
            <w:r>
              <w:rPr>
                <w:rFonts w:hint="eastAsia"/>
              </w:rPr>
              <w:t>15</w:t>
            </w:r>
          </w:p>
        </w:tc>
        <w:tc>
          <w:tcPr>
            <w:tcW w:w="1680" w:type="dxa"/>
            <w:vAlign w:val="center"/>
          </w:tcPr>
          <w:p>
            <w:r>
              <w:rPr>
                <w:rFonts w:hint="eastAsia"/>
              </w:rPr>
              <w:t>49</w:t>
            </w:r>
          </w:p>
        </w:tc>
        <w:tc>
          <w:tcPr>
            <w:tcW w:w="1320" w:type="dxa"/>
            <w:vAlign w:val="center"/>
          </w:tcPr>
          <w:p>
            <w:r>
              <w:rPr>
                <w:rFonts w:hint="eastAsia"/>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trPr>
        <w:tc>
          <w:tcPr>
            <w:tcW w:w="1480" w:type="dxa"/>
            <w:vAlign w:val="center"/>
          </w:tcPr>
          <w:p>
            <w:r>
              <w:rPr>
                <w:rFonts w:hint="eastAsia"/>
              </w:rPr>
              <w:t>1880～1911年</w:t>
            </w:r>
          </w:p>
        </w:tc>
        <w:tc>
          <w:tcPr>
            <w:tcW w:w="1100" w:type="dxa"/>
            <w:vAlign w:val="center"/>
          </w:tcPr>
          <w:p>
            <w:r>
              <w:rPr>
                <w:rFonts w:hint="eastAsia"/>
              </w:rPr>
              <w:t>156</w:t>
            </w:r>
          </w:p>
        </w:tc>
        <w:tc>
          <w:tcPr>
            <w:tcW w:w="1100" w:type="dxa"/>
            <w:vAlign w:val="center"/>
          </w:tcPr>
          <w:p>
            <w:r>
              <w:rPr>
                <w:rFonts w:hint="eastAsia"/>
              </w:rPr>
              <w:t>0</w:t>
            </w:r>
          </w:p>
        </w:tc>
        <w:tc>
          <w:tcPr>
            <w:tcW w:w="1680" w:type="dxa"/>
            <w:vAlign w:val="center"/>
          </w:tcPr>
          <w:p>
            <w:r>
              <w:rPr>
                <w:rFonts w:hint="eastAsia"/>
              </w:rPr>
              <w:t>118</w:t>
            </w:r>
          </w:p>
        </w:tc>
        <w:tc>
          <w:tcPr>
            <w:tcW w:w="1320" w:type="dxa"/>
            <w:vAlign w:val="center"/>
          </w:tcPr>
          <w:p>
            <w:r>
              <w:rPr>
                <w:rFonts w:hint="eastAsia"/>
              </w:rPr>
              <w:t>38</w:t>
            </w:r>
          </w:p>
        </w:tc>
      </w:tr>
    </w:tbl>
    <w:p>
      <w:r>
        <w:t>A.反映了近代中国各阶层的流动趋势</w:t>
      </w:r>
      <w:r>
        <w:tab/>
      </w:r>
      <w:r>
        <w:tab/>
      </w:r>
      <w:r>
        <w:tab/>
      </w:r>
      <w:r>
        <w:t>B.与晚清中国经济结构的变动有关</w:t>
      </w:r>
    </w:p>
    <w:p>
      <w:r>
        <w:t>C.说明该地区的居民受外来压迫最重</w:t>
      </w:r>
      <w:r>
        <w:tab/>
      </w:r>
      <w:r>
        <w:tab/>
      </w:r>
      <w:r>
        <w:tab/>
      </w:r>
      <w:r>
        <w:t>D.刺激了中国民族资本主义的产生</w:t>
      </w:r>
    </w:p>
    <w:p>
      <w:r>
        <w:t>29．新文化运动的代表人物鲁迅认为救治中国，“其首在立人，人立而后凡事举”；陈独秀也明确表示，“人间百行，皆以自我为中心，此而丧失，他何足言”；李大钊更是鼓励人们特立独行，以觉醒之我，实现青春之我。这反映了新文化运动</w:t>
      </w:r>
      <w:r>
        <w:tab/>
      </w:r>
      <w:r>
        <w:tab/>
      </w:r>
      <w:r>
        <w:tab/>
      </w:r>
      <w:r>
        <w:tab/>
      </w:r>
      <w:r>
        <w:tab/>
      </w:r>
      <w:r>
        <w:tab/>
      </w:r>
      <w:r>
        <w:t>D.倡导文学革命</w:t>
      </w:r>
    </w:p>
    <w:p>
      <w:r>
        <w:t>A.提倡民主科学</w:t>
      </w:r>
      <w:r>
        <w:tab/>
      </w:r>
      <w:r>
        <w:tab/>
      </w:r>
      <w:r>
        <w:t>B.批判伦理纲常</w:t>
      </w:r>
      <w:r>
        <w:tab/>
      </w:r>
      <w:r>
        <w:tab/>
      </w:r>
      <w:r>
        <w:t>C.呼吁人的解放</w:t>
      </w:r>
    </w:p>
    <w:p>
      <w:r>
        <w:t>30．下表是1939年2月陕甘宁边区第一届参议会通过的《陕甘宁边区各级参议会组织条例》规定的各级参议会的部分职权。这些规定</w:t>
      </w:r>
    </w:p>
    <w:tbl>
      <w:tblPr>
        <w:tblStyle w:val="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 w:type="dxa"/>
          <w:bottom w:w="0" w:type="dxa"/>
          <w:right w:w="10" w:type="dxa"/>
        </w:tblCellMar>
      </w:tblPr>
      <w:tblGrid>
        <w:gridCol w:w="540"/>
        <w:gridCol w:w="75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280" w:hRule="atLeast"/>
        </w:trPr>
        <w:tc>
          <w:tcPr>
            <w:tcW w:w="540" w:type="dxa"/>
            <w:vAlign w:val="center"/>
          </w:tcPr>
          <w:p>
            <w:r>
              <w:rPr>
                <w:rFonts w:hint="eastAsia"/>
              </w:rPr>
              <w:t>一</w:t>
            </w:r>
          </w:p>
        </w:tc>
        <w:tc>
          <w:tcPr>
            <w:tcW w:w="7550" w:type="dxa"/>
            <w:vAlign w:val="center"/>
          </w:tcPr>
          <w:p>
            <w:r>
              <w:rPr>
                <w:rFonts w:hint="eastAsia"/>
              </w:rPr>
              <w:t>选举各级政府主要成员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60" w:hRule="atLeast"/>
        </w:trPr>
        <w:tc>
          <w:tcPr>
            <w:tcW w:w="540" w:type="dxa"/>
            <w:vAlign w:val="bottom"/>
          </w:tcPr>
          <w:p>
            <w:r>
              <w:rPr>
                <w:rFonts w:hint="eastAsia"/>
              </w:rPr>
              <w:t>二</w:t>
            </w:r>
          </w:p>
        </w:tc>
        <w:tc>
          <w:tcPr>
            <w:tcW w:w="7550" w:type="dxa"/>
            <w:vAlign w:val="center"/>
          </w:tcPr>
          <w:p>
            <w:r>
              <w:rPr>
                <w:rFonts w:hint="eastAsia"/>
              </w:rPr>
              <w:t>制定施政纲领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60" w:hRule="atLeast"/>
        </w:trPr>
        <w:tc>
          <w:tcPr>
            <w:tcW w:w="540" w:type="dxa"/>
            <w:vAlign w:val="bottom"/>
          </w:tcPr>
          <w:p>
            <w:r>
              <w:rPr>
                <w:rFonts w:hint="eastAsia"/>
              </w:rPr>
              <w:t>三</w:t>
            </w:r>
          </w:p>
        </w:tc>
        <w:tc>
          <w:tcPr>
            <w:tcW w:w="7550" w:type="dxa"/>
            <w:vAlign w:val="center"/>
          </w:tcPr>
          <w:p>
            <w:r>
              <w:rPr>
                <w:rFonts w:hint="eastAsia"/>
              </w:rPr>
              <w:t>决定重大事项，制定法律、法规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60" w:hRule="atLeast"/>
        </w:trPr>
        <w:tc>
          <w:tcPr>
            <w:tcW w:w="540" w:type="dxa"/>
            <w:vAlign w:val="bottom"/>
          </w:tcPr>
          <w:p>
            <w:r>
              <w:rPr>
                <w:rFonts w:hint="eastAsia"/>
              </w:rPr>
              <w:t>四</w:t>
            </w:r>
          </w:p>
        </w:tc>
        <w:tc>
          <w:tcPr>
            <w:tcW w:w="7550" w:type="dxa"/>
            <w:vAlign w:val="center"/>
          </w:tcPr>
          <w:p>
            <w:r>
              <w:rPr>
                <w:rFonts w:hint="eastAsia"/>
              </w:rPr>
              <w:t>监察及弹劾各级政府之政务人员，督促及检查各级政府执行参议会决议案之事项</w:t>
            </w:r>
          </w:p>
        </w:tc>
      </w:tr>
    </w:tbl>
    <w:p>
      <w:r>
        <w:t>A.壮大了井冈山革命根据地的力量</w:t>
      </w:r>
      <w:r>
        <w:tab/>
      </w:r>
      <w:r>
        <w:tab/>
      </w:r>
      <w:r>
        <w:t>B.有助于联合抗日局面最终形成</w:t>
      </w:r>
    </w:p>
    <w:p>
      <w:r>
        <w:t>C.深入并践行了社会主义建设理论</w:t>
      </w:r>
      <w:r>
        <w:tab/>
      </w:r>
      <w:r>
        <w:tab/>
      </w:r>
      <w:r>
        <w:t>D.体现了中共对民主政体的探索</w:t>
      </w:r>
    </w:p>
    <w:p>
      <w:r>
        <w:t>31.1953年前后，一些企业将集体福利设施进行了经营化尝试，改由职工分摊，试图让行政负担的部分设施改由职工自主经营、自负盈亏。然而在实施的过程中却逐渐显露了一些问题。到1956年，企业职工福利制度一度又回归由国营企业包办的模式。这种变化</w:t>
      </w:r>
    </w:p>
    <w:p>
      <w:r>
        <w:t>A.体现了经济体制的逐渐转轨</w:t>
      </w:r>
      <w:r>
        <w:tab/>
      </w:r>
      <w:r>
        <w:tab/>
      </w:r>
      <w:r>
        <w:tab/>
      </w:r>
      <w:r>
        <w:tab/>
      </w:r>
      <w:r>
        <w:t>B.表明所有制形式发生重大变化</w:t>
      </w:r>
    </w:p>
    <w:p>
      <w:r>
        <w:t>C.反映了多元分配制度的出现</w:t>
      </w:r>
      <w:r>
        <w:tab/>
      </w:r>
      <w:r>
        <w:tab/>
      </w:r>
      <w:r>
        <w:tab/>
      </w:r>
      <w:r>
        <w:tab/>
      </w:r>
      <w:r>
        <w:t>D.意味着国家经济战略得以实现</w:t>
      </w:r>
    </w:p>
    <w:p>
      <w:r>
        <w:t>32．古希腊时期，公民与城邦完全契合于为了善的目的而存在的公民道德共同体和政治共同体中，两者之间没有张力，没有空间，是完全闭合的。罗马人则强调的是国家对公民必须提供的保护与服务，而不是公民对城邦政治活动的参与。古希腊和罗马这一不同状况</w:t>
      </w:r>
    </w:p>
    <w:p>
      <w:r>
        <w:t>A.源于社会经济发展和政治体制的差异</w:t>
      </w:r>
      <w:r>
        <w:tab/>
      </w:r>
      <w:r>
        <w:t>B.表明开放程度决定国家政治生活</w:t>
      </w:r>
    </w:p>
    <w:p>
      <w:r>
        <w:t>C.说明罗马的政治体制更适应时代潮流</w:t>
      </w:r>
      <w:r>
        <w:tab/>
      </w:r>
      <w:r>
        <w:t>D.体现了古希腊民主政治具有局限</w:t>
      </w:r>
    </w:p>
    <w:p>
      <w:r>
        <w:t>33．法国的伏尔泰、狄德罗、卢梭都宣传过自然神论。这些思想家正是利用自然神论和怀疑论的武器，强烈地反对封建制度、宗教神学和形而上学，并进行了一场科学与宗教的大决战，他们利用自然神论抨击任何形式的自由组织的信仰。据此可知，自然神论</w:t>
      </w:r>
    </w:p>
    <w:p>
      <w:r>
        <w:t>A.否定了宗教存在的必要性</w:t>
      </w:r>
      <w:r>
        <w:tab/>
      </w:r>
      <w:r>
        <w:tab/>
      </w:r>
      <w:r>
        <w:tab/>
      </w:r>
      <w:r>
        <w:tab/>
      </w:r>
      <w:r>
        <w:tab/>
      </w:r>
      <w:r>
        <w:t>B.成为启蒙运动的思想基础</w:t>
      </w:r>
    </w:p>
    <w:p>
      <w:r>
        <w:t>C.利于助长人类理性化倾向</w:t>
      </w:r>
      <w:r>
        <w:tab/>
      </w:r>
      <w:r>
        <w:tab/>
      </w:r>
      <w:r>
        <w:tab/>
      </w:r>
      <w:r>
        <w:tab/>
      </w:r>
      <w:r>
        <w:t>D.铲除了教士和俗人的隔阂</w:t>
      </w:r>
    </w:p>
    <w:p>
      <w:r>
        <w:t>34.1927年，联共（布）十五大提出农业逐步实现集体化的方针。下表所示是1928～1932年集体农庄的建设情况，这一情况</w:t>
      </w:r>
    </w:p>
    <w:tbl>
      <w:tblPr>
        <w:tblStyle w:val="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 w:type="dxa"/>
          <w:bottom w:w="0" w:type="dxa"/>
          <w:right w:w="10" w:type="dxa"/>
        </w:tblCellMar>
      </w:tblPr>
      <w:tblGrid>
        <w:gridCol w:w="2280"/>
        <w:gridCol w:w="920"/>
        <w:gridCol w:w="960"/>
        <w:gridCol w:w="960"/>
        <w:gridCol w:w="980"/>
        <w:gridCol w:w="9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60" w:hRule="atLeast"/>
        </w:trPr>
        <w:tc>
          <w:tcPr>
            <w:tcW w:w="2280" w:type="dxa"/>
            <w:vAlign w:val="center"/>
          </w:tcPr>
          <w:p/>
        </w:tc>
        <w:tc>
          <w:tcPr>
            <w:tcW w:w="920" w:type="dxa"/>
            <w:vAlign w:val="center"/>
          </w:tcPr>
          <w:p>
            <w:r>
              <w:rPr>
                <w:rFonts w:hint="eastAsia"/>
              </w:rPr>
              <w:t>1928年</w:t>
            </w:r>
          </w:p>
        </w:tc>
        <w:tc>
          <w:tcPr>
            <w:tcW w:w="960" w:type="dxa"/>
            <w:vAlign w:val="center"/>
          </w:tcPr>
          <w:p>
            <w:r>
              <w:rPr>
                <w:rFonts w:hint="eastAsia"/>
              </w:rPr>
              <w:t>1929年</w:t>
            </w:r>
          </w:p>
        </w:tc>
        <w:tc>
          <w:tcPr>
            <w:tcW w:w="960" w:type="dxa"/>
            <w:vAlign w:val="center"/>
          </w:tcPr>
          <w:p>
            <w:r>
              <w:rPr>
                <w:rFonts w:hint="eastAsia"/>
              </w:rPr>
              <w:t>1930年</w:t>
            </w:r>
          </w:p>
        </w:tc>
        <w:tc>
          <w:tcPr>
            <w:tcW w:w="980" w:type="dxa"/>
            <w:vAlign w:val="center"/>
          </w:tcPr>
          <w:p>
            <w:r>
              <w:rPr>
                <w:rFonts w:hint="eastAsia"/>
              </w:rPr>
              <w:t>1931年</w:t>
            </w:r>
          </w:p>
        </w:tc>
        <w:tc>
          <w:tcPr>
            <w:tcW w:w="980" w:type="dxa"/>
            <w:vAlign w:val="center"/>
          </w:tcPr>
          <w:p>
            <w:r>
              <w:rPr>
                <w:rFonts w:hint="eastAsia"/>
              </w:rPr>
              <w:t>1932年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60" w:hRule="atLeast"/>
        </w:trPr>
        <w:tc>
          <w:tcPr>
            <w:tcW w:w="2280" w:type="dxa"/>
            <w:vAlign w:val="center"/>
          </w:tcPr>
          <w:p>
            <w:r>
              <w:rPr>
                <w:rFonts w:hint="eastAsia"/>
              </w:rPr>
              <w:t>集体农庄数量（个）</w:t>
            </w:r>
          </w:p>
        </w:tc>
        <w:tc>
          <w:tcPr>
            <w:tcW w:w="920" w:type="dxa"/>
            <w:vAlign w:val="center"/>
          </w:tcPr>
          <w:p>
            <w:r>
              <w:rPr>
                <w:rFonts w:hint="eastAsia"/>
              </w:rPr>
              <w:t>33 300</w:t>
            </w:r>
          </w:p>
        </w:tc>
        <w:tc>
          <w:tcPr>
            <w:tcW w:w="960" w:type="dxa"/>
            <w:vAlign w:val="center"/>
          </w:tcPr>
          <w:p>
            <w:r>
              <w:rPr>
                <w:rFonts w:hint="eastAsia"/>
              </w:rPr>
              <w:t>57 000</w:t>
            </w:r>
          </w:p>
        </w:tc>
        <w:tc>
          <w:tcPr>
            <w:tcW w:w="960" w:type="dxa"/>
            <w:vAlign w:val="center"/>
          </w:tcPr>
          <w:p>
            <w:r>
              <w:rPr>
                <w:rFonts w:hint="eastAsia"/>
              </w:rPr>
              <w:t>85 900</w:t>
            </w:r>
          </w:p>
        </w:tc>
        <w:tc>
          <w:tcPr>
            <w:tcW w:w="980" w:type="dxa"/>
            <w:vAlign w:val="center"/>
          </w:tcPr>
          <w:p>
            <w:r>
              <w:rPr>
                <w:rFonts w:hint="eastAsia"/>
              </w:rPr>
              <w:t>224 500</w:t>
            </w:r>
          </w:p>
        </w:tc>
        <w:tc>
          <w:tcPr>
            <w:tcW w:w="980" w:type="dxa"/>
            <w:vAlign w:val="center"/>
          </w:tcPr>
          <w:p>
            <w:r>
              <w:rPr>
                <w:rFonts w:hint="eastAsia"/>
              </w:rPr>
              <w:t>211 100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60" w:hRule="atLeast"/>
        </w:trPr>
        <w:tc>
          <w:tcPr>
            <w:tcW w:w="2280" w:type="dxa"/>
            <w:vAlign w:val="center"/>
          </w:tcPr>
          <w:p>
            <w:r>
              <w:rPr>
                <w:rFonts w:hint="eastAsia"/>
              </w:rPr>
              <w:t>农户集体化的百分比（％）</w:t>
            </w:r>
          </w:p>
        </w:tc>
        <w:tc>
          <w:tcPr>
            <w:tcW w:w="920" w:type="dxa"/>
            <w:vAlign w:val="center"/>
          </w:tcPr>
          <w:p>
            <w:r>
              <w:rPr>
                <w:rFonts w:hint="eastAsia"/>
              </w:rPr>
              <w:t>1.7</w:t>
            </w:r>
          </w:p>
        </w:tc>
        <w:tc>
          <w:tcPr>
            <w:tcW w:w="960" w:type="dxa"/>
            <w:vAlign w:val="center"/>
          </w:tcPr>
          <w:p>
            <w:r>
              <w:rPr>
                <w:rFonts w:hint="eastAsia"/>
              </w:rPr>
              <w:t>3.9</w:t>
            </w:r>
          </w:p>
        </w:tc>
        <w:tc>
          <w:tcPr>
            <w:tcW w:w="960" w:type="dxa"/>
            <w:vAlign w:val="center"/>
          </w:tcPr>
          <w:p>
            <w:r>
              <w:rPr>
                <w:rFonts w:hint="eastAsia"/>
              </w:rPr>
              <w:t>23.6</w:t>
            </w:r>
          </w:p>
        </w:tc>
        <w:tc>
          <w:tcPr>
            <w:tcW w:w="980" w:type="dxa"/>
            <w:vAlign w:val="center"/>
          </w:tcPr>
          <w:p>
            <w:r>
              <w:rPr>
                <w:rFonts w:hint="eastAsia"/>
              </w:rPr>
              <w:t>52.7</w:t>
            </w:r>
          </w:p>
        </w:tc>
        <w:tc>
          <w:tcPr>
            <w:tcW w:w="980" w:type="dxa"/>
            <w:vAlign w:val="center"/>
          </w:tcPr>
          <w:p>
            <w:r>
              <w:rPr>
                <w:rFonts w:hint="eastAsia"/>
              </w:rPr>
              <w:t>61.5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60" w:hRule="atLeast"/>
        </w:trPr>
        <w:tc>
          <w:tcPr>
            <w:tcW w:w="2280" w:type="dxa"/>
          </w:tcPr>
          <w:p>
            <w:r>
              <w:rPr>
                <w:rFonts w:hint="eastAsia"/>
              </w:rPr>
              <w:t>集体农庄播种面积占全部</w:t>
            </w:r>
          </w:p>
          <w:p>
            <w:r>
              <w:rPr>
                <w:rFonts w:hint="eastAsia"/>
              </w:rPr>
              <w:t>农民播种的百分比（％）</w:t>
            </w:r>
          </w:p>
        </w:tc>
        <w:tc>
          <w:tcPr>
            <w:tcW w:w="920" w:type="dxa"/>
            <w:vAlign w:val="center"/>
          </w:tcPr>
          <w:p>
            <w:r>
              <w:rPr>
                <w:rFonts w:hint="eastAsia"/>
              </w:rPr>
              <w:t>1.2</w:t>
            </w:r>
          </w:p>
        </w:tc>
        <w:tc>
          <w:tcPr>
            <w:tcW w:w="960" w:type="dxa"/>
            <w:vAlign w:val="center"/>
          </w:tcPr>
          <w:p>
            <w:r>
              <w:rPr>
                <w:rFonts w:hint="eastAsia"/>
              </w:rPr>
              <w:t>3.6</w:t>
            </w:r>
          </w:p>
        </w:tc>
        <w:tc>
          <w:tcPr>
            <w:tcW w:w="960" w:type="dxa"/>
            <w:vAlign w:val="center"/>
          </w:tcPr>
          <w:p>
            <w:r>
              <w:rPr>
                <w:rFonts w:hint="eastAsia"/>
              </w:rPr>
              <w:t>30.9</w:t>
            </w:r>
          </w:p>
        </w:tc>
        <w:tc>
          <w:tcPr>
            <w:tcW w:w="980" w:type="dxa"/>
            <w:vAlign w:val="center"/>
          </w:tcPr>
          <w:p>
            <w:r>
              <w:rPr>
                <w:rFonts w:hint="eastAsia"/>
              </w:rPr>
              <w:t>63.0</w:t>
            </w:r>
          </w:p>
        </w:tc>
        <w:tc>
          <w:tcPr>
            <w:tcW w:w="980" w:type="dxa"/>
            <w:vAlign w:val="center"/>
          </w:tcPr>
          <w:p>
            <w:r>
              <w:rPr>
                <w:rFonts w:hint="eastAsia"/>
              </w:rPr>
              <w:t>75.5</w:t>
            </w:r>
          </w:p>
        </w:tc>
      </w:tr>
    </w:tbl>
    <w:p>
      <w:r>
        <w:t>A.迎合了苏联国家发展战略的需要</w:t>
      </w:r>
      <w:r>
        <w:tab/>
      </w:r>
      <w:r>
        <w:tab/>
      </w:r>
      <w:r>
        <w:tab/>
      </w:r>
      <w:r>
        <w:t>B.源于农业生产工具的不断改进</w:t>
      </w:r>
    </w:p>
    <w:p>
      <w:r>
        <w:t>C.体现了国民经济比例出现了失衡</w:t>
      </w:r>
      <w:r>
        <w:tab/>
      </w:r>
      <w:r>
        <w:tab/>
      </w:r>
      <w:r>
        <w:tab/>
      </w:r>
      <w:r>
        <w:t>D.表明农民生产积极性得到提高</w:t>
      </w:r>
    </w:p>
    <w:p>
      <w:pPr>
        <w:rPr>
          <w:rFonts w:hint="eastAsia"/>
        </w:rPr>
      </w:pPr>
      <w:r>
        <w:t>35．漫画有时用简单而夸张的手法影射时事。对下面两幅漫画所隐喻的共同国际局面的理解正确的是</w:t>
      </w:r>
    </w:p>
    <w:p>
      <w:r>
        <w:drawing>
          <wp:inline distT="0" distB="0" distL="0" distR="0">
            <wp:extent cx="4000500" cy="1457325"/>
            <wp:effectExtent l="1905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noChangeArrowheads="1"/>
                    </pic:cNvPicPr>
                  </pic:nvPicPr>
                  <pic:blipFill>
                    <a:blip r:embed="rId15"/>
                    <a:stretch>
                      <a:fillRect/>
                    </a:stretch>
                  </pic:blipFill>
                  <pic:spPr>
                    <a:xfrm>
                      <a:off x="0" y="0"/>
                      <a:ext cx="4000500" cy="1457325"/>
                    </a:xfrm>
                    <a:prstGeom prst="rect">
                      <a:avLst/>
                    </a:prstGeom>
                    <a:noFill/>
                    <a:ln w="9525">
                      <a:noFill/>
                      <a:miter lim="800000"/>
                      <a:headEnd/>
                      <a:tailEnd/>
                    </a:ln>
                  </pic:spPr>
                </pic:pic>
              </a:graphicData>
            </a:graphic>
          </wp:inline>
        </w:drawing>
      </w:r>
    </w:p>
    <w:p>
      <w:r>
        <w:t>A.冷战结束后新的世界大战难以避免</w:t>
      </w:r>
      <w:r>
        <w:tab/>
      </w:r>
      <w:r>
        <w:t>B.世界格局呈现出多极化的发展趋势</w:t>
      </w:r>
    </w:p>
    <w:p>
      <w:r>
        <w:t>C.美国实行单边主义遭到各国的反对</w:t>
      </w:r>
      <w:r>
        <w:tab/>
      </w:r>
      <w:r>
        <w:t>D.影响世界和平与发展的因素仍存在</w:t>
      </w:r>
    </w:p>
    <w:p>
      <w:pPr>
        <w:rPr>
          <w:b/>
        </w:rPr>
      </w:pPr>
      <w:r>
        <w:rPr>
          <w:b/>
        </w:rPr>
        <w:t>二、非选择题：共160分。第36～42题为必考题，第43～47题为选</w:t>
      </w:r>
      <w:r>
        <w:rPr>
          <w:rFonts w:hint="eastAsia"/>
          <w:b/>
        </w:rPr>
        <w:t>做题。</w:t>
      </w:r>
    </w:p>
    <w:p>
      <w:pPr>
        <w:rPr>
          <w:b/>
        </w:rPr>
      </w:pPr>
      <w:r>
        <w:rPr>
          <w:b/>
        </w:rPr>
        <w:t>（一）必考题：共135分。</w:t>
      </w:r>
    </w:p>
    <w:p>
      <w:r>
        <w:t>36．阅读图文资料，完成下列要求。（24分）</w:t>
      </w:r>
    </w:p>
    <w:p>
      <w:pPr>
        <w:ind w:firstLine="420" w:firstLineChars="200"/>
        <w:rPr>
          <w:rFonts w:hint="eastAsia"/>
        </w:rPr>
      </w:pPr>
      <w:r>
        <w:t>冰川指高山地区地表上多年存在并具有沿地面运动状态的天然冰体，按照冰川的性质可将其分为海洋性冰川、极大陆性冰川和亚大陆性冰川。海洋性冰分布在受降水丰沛的海洋湿润气流控制和影响地区。不同类型的冰川，冰川流动性不同，对山体塑造能力也不同。我国是世界上中低纬度带（南北纬60°之间）冰川数量最多、规模最大的国家。西藏东南部的岗日嘎布山东端的亚隆冰川很壮观，冰川从主峰6600m延伸至4000m左右的岗日嘎布湖，其间冰斗、刃脊、角峰等地貌广布。因山脉相连，由多个冰斗包围的山峰形成金字塔形山峰。下图分别示意我国部分地区冰川分布和不同区域冰川的运动速度对比。</w:t>
      </w:r>
    </w:p>
    <w:p>
      <w:pPr>
        <w:ind w:firstLine="420" w:firstLineChars="200"/>
      </w:pPr>
      <w:r>
        <w:drawing>
          <wp:inline distT="0" distB="0" distL="0" distR="0">
            <wp:extent cx="4943475" cy="2647950"/>
            <wp:effectExtent l="19050" t="0" r="9525"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noChangeArrowheads="1"/>
                    </pic:cNvPicPr>
                  </pic:nvPicPr>
                  <pic:blipFill>
                    <a:blip r:embed="rId16"/>
                    <a:stretch>
                      <a:fillRect/>
                    </a:stretch>
                  </pic:blipFill>
                  <pic:spPr>
                    <a:xfrm>
                      <a:off x="0" y="0"/>
                      <a:ext cx="4943475" cy="2647950"/>
                    </a:xfrm>
                    <a:prstGeom prst="rect">
                      <a:avLst/>
                    </a:prstGeom>
                    <a:noFill/>
                    <a:ln w="9525">
                      <a:noFill/>
                      <a:miter lim="800000"/>
                      <a:headEnd/>
                      <a:tailEnd/>
                    </a:ln>
                  </pic:spPr>
                </pic:pic>
              </a:graphicData>
            </a:graphic>
          </wp:inline>
        </w:drawing>
      </w:r>
    </w:p>
    <w:p>
      <w:r>
        <w:t>（1）分别指出A、B、C三类冰川的类型，并说明判断依据。（6分）</w:t>
      </w:r>
    </w:p>
    <w:p>
      <w:r>
        <w:t>（2）简析天山冰川的特点。（6分）</w:t>
      </w:r>
    </w:p>
    <w:p>
      <w:r>
        <w:t>（3）推测我国中低纬度带冰川规模最大的原因。（6分）</w:t>
      </w:r>
    </w:p>
    <w:p>
      <w:r>
        <w:t>（4）简述岗日嘎布形成金字塔型山峰的原因。（6分）</w:t>
      </w:r>
    </w:p>
    <w:p>
      <w:r>
        <w:t>37．阅读图文资料，完成下列要求。（22分）</w:t>
      </w:r>
    </w:p>
    <w:p>
      <w:pPr>
        <w:ind w:firstLine="420" w:firstLineChars="200"/>
      </w:pPr>
      <w:r>
        <w:t>在经济最发达的长三角地区有个大短板-沿海跨海通道，有着“C”形缺口，位于我国第一大群岛-舟山群岛。舟山群岛1k㎡以上的岛屿有58个，基岩岸线漫长而曲折，山岬湾相间，水深湾阔，海面平静。舟山群岛“连岛工程”最终要将宁波、上海连接起来，让长三角跨海通道实现从“C”到“O”的华丽转身，形成一个超级大闭环。这对完善地区交通网络、支撑国家产业布局规划、推进长三角一体化和杭州湾大湾区发展、打造世界级湾区的发展具有重要意义。下图示意杭州湾地理位置及周围地理要素。</w:t>
      </w:r>
    </w:p>
    <w:p>
      <w:r>
        <w:drawing>
          <wp:inline distT="0" distB="0" distL="0" distR="0">
            <wp:extent cx="3648075" cy="1943100"/>
            <wp:effectExtent l="19050" t="0" r="9525"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noChangeArrowheads="1"/>
                    </pic:cNvPicPr>
                  </pic:nvPicPr>
                  <pic:blipFill>
                    <a:blip r:embed="rId17"/>
                    <a:stretch>
                      <a:fillRect/>
                    </a:stretch>
                  </pic:blipFill>
                  <pic:spPr>
                    <a:xfrm>
                      <a:off x="0" y="0"/>
                      <a:ext cx="3648075" cy="1943100"/>
                    </a:xfrm>
                    <a:prstGeom prst="rect">
                      <a:avLst/>
                    </a:prstGeom>
                    <a:noFill/>
                    <a:ln w="9525">
                      <a:noFill/>
                      <a:miter lim="800000"/>
                      <a:headEnd/>
                      <a:tailEnd/>
                    </a:ln>
                  </pic:spPr>
                </pic:pic>
              </a:graphicData>
            </a:graphic>
          </wp:inline>
        </w:drawing>
      </w:r>
    </w:p>
    <w:p>
      <w:r>
        <w:t>（1）指出舟山群岛可成为世界最大港口群的自然条件。（8分）</w:t>
      </w:r>
    </w:p>
    <w:p>
      <w:r>
        <w:t>（2）分析杭州湾打造世界级大湾区的优势条件。（6分）</w:t>
      </w:r>
    </w:p>
    <w:p>
      <w:r>
        <w:t>（3）简述长三角跨海通道的超级大闭环对促进区域协调发展的重要意义。（8分）</w:t>
      </w:r>
    </w:p>
    <w:p>
      <w:r>
        <w:t>38．阅读材料，完成下列要求。（14分）</w:t>
      </w:r>
    </w:p>
    <w:p>
      <w:pPr>
        <w:ind w:firstLine="420" w:firstLineChars="200"/>
      </w:pPr>
      <w:r>
        <w:t>习近平强调，能源的饭碗必须端在自己手里。党的十八大以来，我国单位国内生产总值能耗累计降低24.4％，相当于减少能源消费约12亿吨标准煤，以能源消费年均2.7％的增长支撑了国民经济年均6.4％的增长；2020年，煤炭消费比重下降至56.8％，清洁能源消费比重提升至24.3％。“十三五”期间，我国能源自主保障能力始终保持在80％以上。截至2021年10月底，我国可再生能源发电累计装机容量突破10亿千瓦大关，比2015年底实现翻番，其中水电、风电、太阳能发电和生物质发电装机规模均持续保持世界第一。到2020年底，清洁能源发电装机规模增长到10.83亿千瓦，首次超过煤电装机容量。已建立完备的水电、核电、风电、太阳能发电等清洁能源装备制造产业链，成功研发制造全球最大单机容量100万千瓦水电机组，具备最大单机容量达10兆瓦的全系列风电机组制造能力，不断刷新光伏电池转换效率世界纪录，天然气水合物试采取得成功······能源领域“放管服”改革取得重大成效、取消下放72％的审批事项，进一步放宽了能源领域外资市场准入。先后与90多个国家和地区建立政府间能源合作机制，与30多个能源领域国际组织和多边机制建立合作关系。</w:t>
      </w:r>
    </w:p>
    <w:p>
      <w:pPr>
        <w:ind w:firstLine="315" w:firstLineChars="150"/>
      </w:pPr>
      <w:r>
        <w:t>结合材料并运用经济生活知识，说明我们应如何才能确保将能源的饭碗端在自己的手里。</w:t>
      </w:r>
    </w:p>
    <w:p>
      <w:r>
        <w:t>39．阅读材料，完成下列要求。（12分）</w:t>
      </w:r>
    </w:p>
    <w:p>
      <w:pPr>
        <w:ind w:firstLine="315" w:firstLineChars="150"/>
      </w:pPr>
      <w:r>
        <w:t>2022年，为了喜迎中共二十大胜利召开，M市人民政协制定了下列相关工作安排：</w:t>
      </w:r>
    </w:p>
    <w:p>
      <w:pPr>
        <w:ind w:firstLine="315" w:firstLineChars="150"/>
      </w:pPr>
      <w:r>
        <w:t>围绕迎接中共二十大，人民政协将学习宣传贯彻二十大精神作为贯穿全年的重大政治任务，认真做好思想引导、汇聚力量、议政建言、服务大局各项工作。坚持习近平新时代中国特色社会主义思想学习座谈会制度，进一步提高谈心谈话、专委会媒体见面会、重点关切问题情况通报会等机制化做法的水平，反映界别群众诉求，促进社会和谐。</w:t>
      </w:r>
    </w:p>
    <w:p>
      <w:pPr>
        <w:ind w:firstLine="420" w:firstLineChars="200"/>
      </w:pPr>
      <w:r>
        <w:t>政协委员是政协的主体，人民政协紧紧依靠委员、发挥委员专长，积极引导委员切实加强对宪法和重要法律法规的学习和把握，增强法治意、法治理念，做到认真学法、真正懂法，自觉围绕全面推进依法治国，建言献策于法有据、合乎法治精神，积极投身社会主义法治建设的伟大事业中。</w:t>
      </w:r>
    </w:p>
    <w:p>
      <w:pPr>
        <w:ind w:firstLine="315" w:firstLineChars="150"/>
      </w:pPr>
      <w:r>
        <w:t>结合材料，运用政治生活知识，说明M市人民政协的工作安排是怎样体现我国社会主义民主政治的。</w:t>
      </w:r>
    </w:p>
    <w:p>
      <w:r>
        <w:t>40．阅读材料，完成下列要求。（26分）</w:t>
      </w:r>
    </w:p>
    <w:p>
      <w:pPr>
        <w:ind w:firstLine="420" w:firstLineChars="200"/>
      </w:pPr>
      <w:r>
        <w:t>2022年4月8日，党中央、国务院决定追授邓小岚同志“北京冬奥会、冬残奥会突出贡献个人”称号。</w:t>
      </w:r>
    </w:p>
    <w:p>
      <w:pPr>
        <w:ind w:firstLine="420" w:firstLineChars="200"/>
      </w:pPr>
      <w:r>
        <w:t>马兰村位于阜平县城南庄镇西部深山区，这里曾是《晋察冀日报》报社所在地，是第一</w:t>
      </w:r>
      <w:r>
        <w:drawing>
          <wp:anchor distT="0" distB="0" distL="114300" distR="114300" simplePos="0" relativeHeight="251661312" behindDoc="0" locked="0" layoutInCell="1" allowOverlap="1">
            <wp:simplePos x="0" y="0"/>
            <wp:positionH relativeFrom="column">
              <wp:posOffset>4400550</wp:posOffset>
            </wp:positionH>
            <wp:positionV relativeFrom="paragraph">
              <wp:posOffset>171450</wp:posOffset>
            </wp:positionV>
            <wp:extent cx="1028700" cy="1762125"/>
            <wp:effectExtent l="19050" t="0" r="0" b="0"/>
            <wp:wrapSquare wrapText="bothSides"/>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noChangeArrowheads="1"/>
                    </pic:cNvPicPr>
                  </pic:nvPicPr>
                  <pic:blipFill>
                    <a:blip r:embed="rId18"/>
                    <a:stretch>
                      <a:fillRect/>
                    </a:stretch>
                  </pic:blipFill>
                  <pic:spPr>
                    <a:xfrm>
                      <a:off x="0" y="0"/>
                      <a:ext cx="1028700" cy="1762125"/>
                    </a:xfrm>
                    <a:prstGeom prst="rect">
                      <a:avLst/>
                    </a:prstGeom>
                    <a:noFill/>
                    <a:ln w="9525">
                      <a:noFill/>
                      <a:miter lim="800000"/>
                      <a:headEnd/>
                      <a:tailEnd/>
                    </a:ln>
                  </pic:spPr>
                </pic:pic>
              </a:graphicData>
            </a:graphic>
          </wp:anchor>
        </w:drawing>
      </w:r>
      <w:r>
        <w:t xml:space="preserve">部《毛泽东选集》的诞生地。当年，邓小岚的父亲邓拓任报社主编，在敌人扫荡中一边游击，一边办报纸，没有一天停止过，这里曾创造了“用八匹骡子办报”的奇迹。邓小岚出生后被寄养在离马兰村很近的麻棚村老乡家里生活了3年。缘于个人身世、父辈情结及对这片土地的热爱，邓小岚一直把这里视为第二故乡，她说：“我就是马兰人。” </w:t>
      </w:r>
    </w:p>
    <w:p>
      <w:pPr>
        <w:ind w:firstLine="420" w:firstLineChars="200"/>
      </w:pPr>
      <w:r>
        <w:t>1997年，邓小岚第一次回到马兰村，看到村里的情况，觉得应该为马兰村做点儿事情。她每年的退休金3万多元，有两万元用来帮助马兰村。她通过努力在村里盖了7间校舍，又积极帮助困难学生解决学费问题，还帮助村里搞起了红色旅游。</w:t>
      </w:r>
    </w:p>
    <w:p>
      <w:pPr>
        <w:ind w:firstLine="420" w:firstLineChars="200"/>
      </w:pPr>
      <w:r>
        <w:t>邓小岚说，她最幸福的时刻就是看着孩子们站在台上演奏的时候。1999年邓小岚退休以后，回到马兰村住下来，默默为村里做事，先后帮助该村翻建学校、修路种树、改建水冲式厕所、救助贫困户和贫困学生、发展旅游等，她还为马兰小学捐献了小提琴、手风琴等乐器，义务为学生们上课，教他们学习乐器、绘画等。功夫不负有心人，经过邓小岚的悉心指导，孩子们已经能够演奏复杂的乐曲，唱功也明显提高。2010年8月，马兰村小乐队出席了在北京举行的第四届中国优秀特长生艺术节开幕式，孩子们表演的器乐合奏《美丽的家园》和《欢乐颂》，赢得了在场所有观众的热烈掌声。2008年北京奥运会后，她带着马兰小乐队成员参观过鸟巢。2022年2月4日，在2022年北京冬奥会开幕式中，44位来自太行山深处的孩子用天籁之音演唱了希腊语奥林匹克会歌《奥林匹克颂》，这群在鸟巢体育场内唱响世界的孩子们背后，是默默耕耘十余载，无私奉献的音乐教育志愿者老人邓小岚。今天的马兰村有了三张响亮的名片-生态马兰、红色马兰、音乐马兰。</w:t>
      </w:r>
    </w:p>
    <w:p>
      <w:r>
        <w:t>（1）著名美学家朱光潜说：“人，因为持守而变得美丽。”邓小岚就是这样的人。结合材料，说明邓小岚同志在坚守中是如何坚持“一切从实际出发、实事求是”的。（12分）</w:t>
      </w:r>
    </w:p>
    <w:p>
      <w:r>
        <w:t>（2）邓小岚用音乐改变了一座村庄，越来越多乡村教育的筑梦人正沿着她的路走下去。结合材料并运用文化传承与创新的知识，说明乡村教育的筑梦人应如何把梦坚持下去。（10分）</w:t>
      </w:r>
    </w:p>
    <w:p>
      <w:r>
        <w:t>（3）把山里娃送上冬奥会舞台的邓小岚，变成了一颗星，只要我们记得，她就活着。请你为她拟写两条赞歌。（不可抄袭材料，4分）</w:t>
      </w:r>
    </w:p>
    <w:p>
      <w:r>
        <w:t>41．阅读材料，完成下列要求。（25分）</w:t>
      </w:r>
    </w:p>
    <w:p>
      <w:r>
        <w:t>材料一</w:t>
      </w:r>
    </w:p>
    <w:p>
      <w:pPr>
        <w:ind w:firstLine="420" w:firstLineChars="200"/>
        <w:rPr>
          <w:rFonts w:hint="eastAsia"/>
        </w:rPr>
      </w:pPr>
      <w:r>
        <w:t>17世纪以前，中国和俄罗斯并不接壤，17世纪以后，沙俄通过扩张，使得中国和沙俄互为最大的邻国。沙俄侵华政策基本方针早在彼得一世就已奠定，他的后继者亚历山大、叶卡捷琳娜等沙皇都继承了这一侵略方针。1917年俄国十月社会主义革命后，给中国带来了马克思主义，苏俄支持中国的革命事业。中华人民共和国成立以后，中苏形成了结盟关系，《中苏友好同盟互助条约》签订，斯大林在维持苏联利益的同时，也真正给予了我们帮助。20世纪60年代到80年代，苏联撤走援华工程师，拆除设备，几令中国陷入极大困难之中，甚至还发生了珍宝岛战役。1989年戈尔巴乔夫访华，中苏关系正常化的进程演变成正常化的中俄关系。现在两国在经济领域的合作进一步加深，最重要的是还建立了中俄边境贸易，在互利互惠原则上发展沿边城市的全面合作。</w:t>
      </w:r>
    </w:p>
    <w:p>
      <w:pPr>
        <w:ind w:firstLine="2835" w:firstLineChars="1350"/>
      </w:pPr>
      <w:r>
        <w:rPr>
          <w:rFonts w:hint="eastAsia"/>
        </w:rPr>
        <w:t>——</w:t>
      </w:r>
      <w:r>
        <w:t>摘编自王钰《近现代中俄关系走向》</w:t>
      </w:r>
    </w:p>
    <w:p>
      <w:r>
        <w:t xml:space="preserve">材料二                        </w:t>
      </w:r>
    </w:p>
    <w:p>
      <w:pPr>
        <w:ind w:firstLine="420" w:firstLineChars="200"/>
      </w:pPr>
      <w:r>
        <w:t>二战后，日本一直处于美国的控制之下。新中国成立后，特别是朝鲜战争的爆发，美国更重视日本作为战略基地的作用，要将其纳入它的战略体系中。美国片面炮制的对日“和约”就是在这样的背景下出现的，其目的是谋求使其长期占领日本“合法化”。1950年8月，美英公布了“对日和约草案定本”。其中，在领土问题上它违背了《开罗宣言》和《波茨坦协议》的规定，故意把中国台湾、澎湖列岛等归属问题弄得含混其词。同时，日本吉田政府在美国指示下，也同蒋介石集团签订了所谓的“和约”，并建立“外交关系”。1958年，杜勒斯等人说蒋军驻扎在金门、马祖是“愚蠢和不明智的”，企图使蒋军撤出金马等沿海岛屿，把台湾与大陆完全隔离开。20世纪60年代末70年代初，面对国际格局的演变和超级大国霸权地位的起落，以及中华人民共和国在联合国的一切合法权利得以恢复，美国开始调整对华、对台政策。1972年，中美两国在上海发表了《上海公报》，美国表示：“在台湾海峡两边的所有中国人都认为只有一个中国，台湾是中国的一部分。美国对这一立场不提出异议。”这是中国对美斗争的重大胜利。</w:t>
      </w:r>
    </w:p>
    <w:p>
      <w:pPr>
        <w:ind w:firstLine="630" w:firstLineChars="300"/>
        <w:rPr>
          <w:rFonts w:hint="eastAsia"/>
        </w:rPr>
      </w:pPr>
      <w:r>
        <w:rPr>
          <w:rFonts w:hint="eastAsia"/>
        </w:rPr>
        <w:t>——</w:t>
      </w:r>
      <w:r>
        <w:t>摘编自高民政《1949至1979：中美围绕台湾问题的军事政治较量及其影响》</w:t>
      </w:r>
    </w:p>
    <w:p>
      <w:r>
        <w:t>（1）根据材料一并结合所学知识，概括中俄两国关系发展进程及特点。（10分）</w:t>
      </w:r>
    </w:p>
    <w:p>
      <w:r>
        <w:t>（2）根据材料二并结合所学知识，指出新中国成立后美国对台政策的表现并分析20世纪70年代中美关系走向正常化的原因。（10分）</w:t>
      </w:r>
    </w:p>
    <w:p>
      <w:r>
        <w:t>（3）根据材料一、二并结合所学知识，谈谈你对国家对外政策调整的认识。（5分）</w:t>
      </w:r>
    </w:p>
    <w:p>
      <w:pPr>
        <w:rPr>
          <w:color w:val="000000"/>
          <w:szCs w:val="21"/>
        </w:rPr>
      </w:pPr>
      <w:r>
        <w:rPr>
          <w:color w:val="000000"/>
          <w:szCs w:val="21"/>
        </w:rPr>
        <w:t>42．阅读材料，完成下列要求。（12分）</w:t>
      </w:r>
    </w:p>
    <w:p>
      <w:pPr>
        <w:rPr>
          <w:color w:val="000000"/>
          <w:szCs w:val="21"/>
        </w:rPr>
      </w:pPr>
      <w:r>
        <w:rPr>
          <w:color w:val="000000"/>
          <w:szCs w:val="21"/>
        </w:rPr>
        <w:t>材料</w:t>
      </w:r>
    </w:p>
    <w:p>
      <w:pPr>
        <w:ind w:firstLine="420" w:firstLineChars="200"/>
      </w:pPr>
      <w:r>
        <w:t>中国的封建宗法等级制度是以血缘关系为基础的，其核心内容是“亲亲”“尊尊”，强调“亲亲有术”“爱有差等”。封建等级制度到汉代得到进一步强化，董仲舒提出“王道之三纲可上溯于天”，对其作了宗教神学的论证。朱熹则把它发展为神秘的“天理”，王阳明则宣扬“心即理”，认为人人具有先天的维护等级制度的“良知”。王艮在解释“百姓日用之道”时，认为无论贵贱贤愚都具有共同的物质欲求。何心隐则明确提出了“凡有血气者莫不亲，莫不尊”。</w:t>
      </w:r>
    </w:p>
    <w:p>
      <w:pPr>
        <w:ind w:firstLine="3045" w:firstLineChars="1450"/>
      </w:pPr>
      <w:r>
        <w:rPr>
          <w:rFonts w:hint="eastAsia"/>
        </w:rPr>
        <w:t>——</w:t>
      </w:r>
      <w:r>
        <w:t>摘编自丁冠之《论明清实学的早期启蒙思想》</w:t>
      </w:r>
    </w:p>
    <w:p>
      <w:r>
        <w:t>根据材料并结合所学知识，从中任意提取一个观点并加以论述。（要求：观点明确；史论结合；论述完整、准确。）</w:t>
      </w:r>
    </w:p>
    <w:p>
      <w:pPr>
        <w:rPr>
          <w:b/>
        </w:rPr>
      </w:pPr>
      <w:r>
        <w:rPr>
          <w:b/>
        </w:rPr>
        <w:t>（二）选考题：共25分。请考生从2道地理题、3道历史题中每科任选一题作答。如果多做，则每科按所做的第一题计分。</w:t>
      </w:r>
    </w:p>
    <w:p>
      <w:r>
        <w:t>43．［地理-选修3：旅游地理］（10分）</w:t>
      </w:r>
    </w:p>
    <w:p>
      <w:pPr>
        <w:ind w:firstLine="315" w:firstLineChars="150"/>
      </w:pPr>
      <w:r>
        <w:t>内蒙古大兴安岭生态功能区是我国面积最大的国有林区、北方重要生态安全屏障。区内自然景观壮美，绿色资源、冰雪资源优势突出，已建成自然保护区、森林公园、湿地公园34处，先后打造了1个5A级旅游景区、3个4A级景区、多个3A级景区。2021年内蒙古大兴安岭生态功能区内深度开发森林康养、极寒挑战、寻源探秘、研学实践、开发体验、湿地观光等旅游产品，形成“冬夏两旺、春秋补充、四季皆游”的发展格局。</w:t>
      </w:r>
    </w:p>
    <w:p>
      <w:pPr>
        <w:ind w:firstLine="315" w:firstLineChars="150"/>
      </w:pPr>
      <w:r>
        <w:t>指出内蒙古大兴安岭生态功能区的旅游价值，并简述其发展旅游业的优势条件。</w:t>
      </w:r>
    </w:p>
    <w:p>
      <w:r>
        <w:t>44．［地理-选修6：环境保护］（10分）</w:t>
      </w:r>
    </w:p>
    <w:p>
      <w:pPr>
        <w:ind w:firstLine="315" w:firstLineChars="150"/>
        <w:rPr>
          <w:rFonts w:hint="eastAsia"/>
        </w:rPr>
      </w:pPr>
      <w:r>
        <w:t>太阳能清洁、能量巨大、可再生，属于新能源。近年来，我国利用太阳能发电的发展速度很快，但存在很多问题，如在生态脆弱区或自然条件较好的湖泊、水库、湿地等大量建设太阳能电站会破坏生态环境，这些带着“绿色光环”的太阳能电站变成了脆弱大地的新伤痕。左图示意江苏盐城湿地国家自然保护区内的太阳能电站景观，右图示意甘肃敦煌的太阳能电站景观。</w:t>
      </w:r>
    </w:p>
    <w:p>
      <w:r>
        <w:drawing>
          <wp:inline distT="0" distB="0" distL="0" distR="0">
            <wp:extent cx="4143375" cy="1400175"/>
            <wp:effectExtent l="19050" t="0" r="9525"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noChangeArrowheads="1"/>
                    </pic:cNvPicPr>
                  </pic:nvPicPr>
                  <pic:blipFill>
                    <a:blip r:embed="rId19"/>
                    <a:stretch>
                      <a:fillRect/>
                    </a:stretch>
                  </pic:blipFill>
                  <pic:spPr>
                    <a:xfrm>
                      <a:off x="0" y="0"/>
                      <a:ext cx="4143375" cy="1400175"/>
                    </a:xfrm>
                    <a:prstGeom prst="rect">
                      <a:avLst/>
                    </a:prstGeom>
                    <a:noFill/>
                    <a:ln w="9525">
                      <a:noFill/>
                      <a:miter lim="800000"/>
                      <a:headEnd/>
                      <a:tailEnd/>
                    </a:ln>
                  </pic:spPr>
                </pic:pic>
              </a:graphicData>
            </a:graphic>
          </wp:inline>
        </w:drawing>
      </w:r>
    </w:p>
    <w:p>
      <w:r>
        <w:t>分别指出生态脆弱区和自然条件较好的湖泊等水域建设太阳能电站可能出现的环境问题。</w:t>
      </w:r>
    </w:p>
    <w:p>
      <w:r>
        <w:t>45．［历史-选修1：历史上重大改革回眸］（15分）</w:t>
      </w:r>
    </w:p>
    <w:p>
      <w:r>
        <w:t>材料</w:t>
      </w:r>
    </w:p>
    <w:p>
      <w:pPr>
        <w:ind w:firstLine="315" w:firstLineChars="150"/>
      </w:pPr>
      <w:r>
        <w:t>1871年7月，日本实行“废藩置县”的同时，政府设立文部省，专门掌管科学文化教育事</w:t>
      </w:r>
    </w:p>
    <w:p>
      <w:r>
        <w:t>业的改革。1872年，明治政府颁布的《学制》宣布要从小学抓起，务期做到“邑无不学之户，</w:t>
      </w:r>
    </w:p>
    <w:p>
      <w:r>
        <w:t>家无不学之人”的普及初等国民教育方针。并于1883年将寻常小学改为初、中、高三等制，</w:t>
      </w:r>
    </w:p>
    <w:p>
      <w:r>
        <w:t>同时阐明教育就是要用近代的科学文化知识和技能从少儿时期起就武装国民的头脑。经过</w:t>
      </w:r>
    </w:p>
    <w:p>
      <w:r>
        <w:t>明治维新以来大量输入西方先进科技，通过教育这一传授手段加以消化、吸收，日本近代的</w:t>
      </w:r>
    </w:p>
    <w:p>
      <w:r>
        <w:t>理、工、化、医、农等各种科学技术水平迅速提高，并有一些独创性。比如，20世纪初，造船工业、纺织工业和海上交通运输业都已达到世界先进水平。1890年以明治天皇名义颁发《教育敕语》，确定了以儒家思想道德为中心的教育方针，它力图将近代教育纳入以宣扬忠君爱国为灵魂的道德教育轨道。</w:t>
      </w:r>
    </w:p>
    <w:p>
      <w:pPr>
        <w:ind w:firstLine="2730" w:firstLineChars="1300"/>
      </w:pPr>
      <w:r>
        <w:rPr>
          <w:rFonts w:hint="eastAsia"/>
        </w:rPr>
        <w:t>——</w:t>
      </w:r>
      <w:r>
        <w:t>摘编自万峰《明治维新以来的日本教育》</w:t>
      </w:r>
    </w:p>
    <w:p>
      <w:r>
        <w:t>（1）根据材料并结合所学知识，概括1872年明治政府的教育改革理念，并指出明治政府为落实改革理念采取的措施。（10分）</w:t>
      </w:r>
    </w:p>
    <w:p>
      <w:r>
        <w:t>（2）根据材料并结合所学知识，简评明治维新中教育改革的措施。（5分）</w:t>
      </w:r>
    </w:p>
    <w:p>
      <w:r>
        <w:t>46．［历史-选修3：20世纪的战争与和平］（15分）</w:t>
      </w:r>
    </w:p>
    <w:p>
      <w:r>
        <w:t>材料</w:t>
      </w:r>
    </w:p>
    <w:p>
      <w:pPr>
        <w:ind w:firstLine="315" w:firstLineChars="150"/>
      </w:pPr>
      <w:r>
        <w:t>南斯拉夫社会主义联邦共和国主要由塞尔维亚人、克罗地亚人、斯洛文尼亚人、黑山人、</w:t>
      </w:r>
    </w:p>
    <w:p>
      <w:r>
        <w:t>马斯顿人等构成，他们信仰的宗教有东正教、天主教、伊斯兰教。铁托时期，主体民族塞尔维亚人备受打压。1961年，有42.1％的人自认为是塞尔维亚人，到1981年则降为36.3％。</w:t>
      </w:r>
    </w:p>
    <w:p>
      <w:r>
        <w:t>从1991年开始，斯洛文尼亚、克罗地亚、波斯尼亚-黑塞哥维那和马其顿相继宣告独立。</w:t>
      </w:r>
    </w:p>
    <w:p>
      <w:r>
        <w:t>1992年，塞尔维亚和黑山组成“南斯拉夫联盟共和国”。在南斯拉夫解体的过程中，爆发了</w:t>
      </w:r>
    </w:p>
    <w:p>
      <w:r>
        <w:t>规模不等的战争，其中波黑内战持续了近4年。1995年，在美国的干预下，《代顿和平协议》</w:t>
      </w:r>
    </w:p>
    <w:p>
      <w:r>
        <w:t>签订，结束了波黑战争。后来，一些国家逐步加入了欧盟。</w:t>
      </w:r>
    </w:p>
    <w:p>
      <w:pPr>
        <w:ind w:firstLine="3675" w:firstLineChars="1750"/>
      </w:pPr>
      <w:r>
        <w:rPr>
          <w:rFonts w:hint="eastAsia"/>
        </w:rPr>
        <w:t>——</w:t>
      </w:r>
      <w:r>
        <w:t>摘编自余伟民《世界当代史》</w:t>
      </w:r>
    </w:p>
    <w:p>
      <w:r>
        <w:t>（1）根据材料并结合所学知识，分析影响南斯拉夫联邦解体的因素。（8分）</w:t>
      </w:r>
    </w:p>
    <w:p>
      <w:r>
        <w:t>（2）根据材料并结合所学知识，说明南斯拉夫联邦解体的影响。（7分）</w:t>
      </w:r>
    </w:p>
    <w:p>
      <w:r>
        <w:t>47．［历史-选修4：中外历史人物评说］（15分）</w:t>
      </w:r>
    </w:p>
    <w:p>
      <w:r>
        <w:t>材料</w:t>
      </w:r>
    </w:p>
    <w:p>
      <w:pPr>
        <w:ind w:firstLine="420" w:firstLineChars="200"/>
      </w:pPr>
      <w:r>
        <w:t>李晟（727～793年）今甘肃临潭人，唐朝中期名将，擅长骑射，勇武绝伦。他以良家子弟身份从军，跟随河西节度使王忠嗣征讨吐蕃，他战胜吐蕃定秦堡，生擒堡帅慕容谷钟，迫使吐蕃解除灵州之围，被赞为“万人敌”。李晟坚持以封建的忠君思想训育部下，善知部下之长，经常提拔部下，治军严明，赏罚必信。他镇守西陲，屡立战功，被册封为合川郡王，后调任右神策军都将，宿卫长安。783年，泾原镇士卒在长安哗变，拥立朱泚为帝，唐德宗仓皇出逃。784年，李晟收复长安，平定朱泚之乱，拜司徒兼中书令，世称李四平。他考虑到泾州临近边界，然此地治理不善，多次发生兵祸，为此他主动奏请驻守泾州。吐蕃对李晟极为畏惧，多次主动请和。李晟为凝聚各族民众对大唐帝国的归顺之心，竟倾其家财，用来赏赐降者。在作战指挥上，他不畏强敌，善激励士气，谋定后战，身先士卒，临敌应变。李晟于793年去世，时年六十七，谥号忠武。</w:t>
      </w:r>
    </w:p>
    <w:p>
      <w:pPr>
        <w:ind w:firstLine="3570" w:firstLineChars="1700"/>
      </w:pPr>
      <w:r>
        <w:rPr>
          <w:rFonts w:hint="eastAsia"/>
        </w:rPr>
        <w:t>——</w:t>
      </w:r>
      <w:r>
        <w:t>摘编自</w:t>
      </w:r>
      <w:r>
        <w:rPr>
          <w:rFonts w:hint="eastAsia"/>
        </w:rPr>
        <w:t>白寿彝</w:t>
      </w:r>
      <w:r>
        <w:t>主编《中国通史》</w:t>
      </w:r>
    </w:p>
    <w:p>
      <w:r>
        <w:t>（1）根据材料并结合所学知识，概括李晟的主要功绩。（7分）</w:t>
      </w:r>
    </w:p>
    <w:p>
      <w:pPr>
        <w:sectPr>
          <w:headerReference r:id="rId3" w:type="default"/>
          <w:footerReference r:id="rId4" w:type="default"/>
          <w:pgSz w:w="11906" w:h="16838"/>
          <w:pgMar w:top="1440" w:right="1800" w:bottom="1440" w:left="1800" w:header="851" w:footer="992" w:gutter="0"/>
          <w:cols w:space="425" w:num="1"/>
          <w:docGrid w:type="lines" w:linePitch="312" w:charSpace="0"/>
        </w:sectPr>
      </w:pPr>
      <w:r>
        <w:t>（2）根据材料并结合所学知识，分析李晟取得功绩的原因。（8分）</w:t>
      </w: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6"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MmRmNjg2MDAyN2RmNDg1MjM3NmYxOTA0NDE3MjE1MTkifQ=="/>
  </w:docVars>
  <w:rsids>
    <w:rsidRoot w:val="00BA46E4"/>
    <w:rsid w:val="004151FC"/>
    <w:rsid w:val="004364B0"/>
    <w:rsid w:val="00485AC6"/>
    <w:rsid w:val="00984334"/>
    <w:rsid w:val="00BA46E4"/>
    <w:rsid w:val="00C02FC6"/>
    <w:rsid w:val="031C77B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iPriority="99" w:semiHidden="0" w:name="header"/>
    <w:lsdException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6">
    <w:name w:val="Default Paragraph Font"/>
    <w:unhideWhenUsed/>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7"/>
    <w:uiPriority w:val="0"/>
    <w:rPr>
      <w:sz w:val="18"/>
      <w:szCs w:val="18"/>
    </w:rPr>
  </w:style>
  <w:style w:type="paragraph" w:styleId="3">
    <w:name w:val="footer"/>
    <w:basedOn w:val="1"/>
    <w:link w:val="9"/>
    <w:unhideWhenUsed/>
    <w:uiPriority w:val="99"/>
    <w:pPr>
      <w:tabs>
        <w:tab w:val="center" w:pos="4153"/>
        <w:tab w:val="right" w:pos="8306"/>
      </w:tabs>
      <w:snapToGrid w:val="0"/>
      <w:jc w:val="left"/>
    </w:pPr>
    <w:rPr>
      <w:kern w:val="0"/>
      <w:sz w:val="18"/>
      <w:szCs w:val="18"/>
    </w:rPr>
  </w:style>
  <w:style w:type="paragraph" w:styleId="4">
    <w:name w:val="header"/>
    <w:basedOn w:val="1"/>
    <w:link w:val="8"/>
    <w:unhideWhenUsed/>
    <w:uiPriority w:val="99"/>
    <w:pPr>
      <w:pBdr>
        <w:bottom w:val="single" w:color="auto" w:sz="6" w:space="1"/>
      </w:pBdr>
      <w:tabs>
        <w:tab w:val="center" w:pos="4153"/>
        <w:tab w:val="right" w:pos="8306"/>
      </w:tabs>
      <w:snapToGrid w:val="0"/>
      <w:jc w:val="center"/>
    </w:pPr>
    <w:rPr>
      <w:kern w:val="0"/>
      <w:sz w:val="18"/>
      <w:szCs w:val="18"/>
    </w:rPr>
  </w:style>
  <w:style w:type="character" w:customStyle="1" w:styleId="7">
    <w:name w:val="批注框文本 Char"/>
    <w:basedOn w:val="6"/>
    <w:link w:val="2"/>
    <w:uiPriority w:val="0"/>
    <w:rPr>
      <w:kern w:val="2"/>
      <w:sz w:val="18"/>
      <w:szCs w:val="18"/>
    </w:rPr>
  </w:style>
  <w:style w:type="character" w:customStyle="1" w:styleId="8">
    <w:name w:val="页眉 Char"/>
    <w:link w:val="4"/>
    <w:semiHidden/>
    <w:uiPriority w:val="99"/>
    <w:rPr>
      <w:sz w:val="18"/>
      <w:szCs w:val="18"/>
    </w:rPr>
  </w:style>
  <w:style w:type="character" w:customStyle="1" w:styleId="9">
    <w:name w:val="页脚 Char"/>
    <w:link w:val="3"/>
    <w:semiHidden/>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1" Type="http://schemas.openxmlformats.org/officeDocument/2006/relationships/fontTable" Target="fontTable.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China</Company>
  <Pages>12</Pages>
  <Words>11205</Words>
  <Characters>11780</Characters>
  <Lines>89</Lines>
  <Paragraphs>25</Paragraphs>
  <TotalTime>13</TotalTime>
  <ScaleCrop>false</ScaleCrop>
  <LinksUpToDate>false</LinksUpToDate>
  <CharactersWithSpaces>12246</CharactersWithSpaces>
  <Application>WPS Office_11.1.0.11636_F1E327BC-269C-435d-A152-05C5408002CA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2022-05-13T06:20:00Z</dcterms:created>
  <dc:creator>xbany</dc:creator>
  <cp:lastModifiedBy>盛夏光年</cp:lastModifiedBy>
  <dcterms:modified xsi:type="dcterms:W3CDTF">2022-05-16T09:35:19Z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2052-11.1.0.11636</vt:lpwstr>
  </property>
  <property fmtid="{D5CDD505-2E9C-101B-9397-08002B2CF9AE}" pid="7" name="ICV">
    <vt:lpwstr>AB12399796B044D3825006909876505D</vt:lpwstr>
  </property>
</Properties>
</file>