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 w:ascii="黑体" w:hAnsi="宋体" w:eastAsia="黑体"/>
          <w:b/>
          <w:sz w:val="32"/>
          <w:szCs w:val="32"/>
        </w:rPr>
      </w:pPr>
      <w:r>
        <w:rPr>
          <w:rFonts w:hint="eastAsia" w:ascii="黑体" w:hAnsi="宋体" w:eastAsia="黑体"/>
          <w:b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10909300</wp:posOffset>
            </wp:positionH>
            <wp:positionV relativeFrom="topMargin">
              <wp:posOffset>11747500</wp:posOffset>
            </wp:positionV>
            <wp:extent cx="368300" cy="431800"/>
            <wp:effectExtent l="0" t="0" r="12700" b="635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宋体" w:eastAsia="黑体"/>
          <w:b/>
          <w:sz w:val="32"/>
          <w:szCs w:val="32"/>
        </w:rPr>
        <w:pict>
          <v:shape id="文本框 2" o:spid="_x0000_s1025" o:spt="202" type="#_x0000_t202" style="position:absolute;left:0pt;margin-left:-50.6pt;margin-top:-51.85pt;height:727.95pt;width:85.05pt;mso-wrap-distance-bottom:3.6pt;mso-wrap-distance-left:9pt;mso-wrap-distance-right:9pt;mso-wrap-distance-top:3.6pt;z-index:251660288;mso-width-relative:margin;mso-height-relative:margin;" filled="t" stroked="t" coordsize="21600,21600">
            <v:path/>
            <v:fill on="t" focussize="0,0"/>
            <v:stroke joinstyle="miter"/>
            <v:imagedata o:title=""/>
            <o:lock v:ext="edit" aspectratio="f"/>
            <v:textbox style="layout-flow:vertical;mso-layout-flow-alt:bottom-to-top;">
              <w:txbxContent>
                <w:p/>
                <w:p/>
                <w:p>
                  <w:pPr>
                    <w:ind w:firstLine="3360" w:firstLineChars="160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班级</w:t>
                  </w:r>
                  <w:r>
                    <w:rPr>
                      <w:rFonts w:hint="eastAsia"/>
                      <w:u w:val="single"/>
                    </w:rPr>
                    <w:t xml:space="preserve">                   </w:t>
                  </w:r>
                  <w:r>
                    <w:t xml:space="preserve">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  <w:u w:val="single"/>
                    </w:rPr>
                    <w:t xml:space="preserve">                   </w:t>
                  </w:r>
                  <w:r>
                    <w:t xml:space="preserve">  </w:t>
                  </w:r>
                  <w:r>
                    <w:rPr>
                      <w:rFonts w:hint="eastAsia"/>
                    </w:rPr>
                    <w:t>考号</w:t>
                  </w:r>
                  <w:r>
                    <w:rPr>
                      <w:rFonts w:hint="eastAsia"/>
                      <w:u w:val="single"/>
                    </w:rPr>
                    <w:t xml:space="preserve">                   </w:t>
                  </w:r>
                </w:p>
              </w:txbxContent>
            </v:textbox>
            <w10:wrap type="square"/>
          </v:shape>
        </w:pict>
      </w:r>
      <w:r>
        <w:rPr>
          <w:rFonts w:hint="eastAsia" w:ascii="黑体" w:hAnsi="宋体" w:eastAsia="黑体"/>
          <w:b/>
          <w:sz w:val="32"/>
          <w:szCs w:val="32"/>
        </w:rPr>
        <w:t>邯郸市2022届高三模拟考试</w:t>
      </w:r>
    </w:p>
    <w:p>
      <w:pPr>
        <w:spacing w:line="360" w:lineRule="auto"/>
        <w:jc w:val="center"/>
        <w:rPr>
          <w:rFonts w:hint="eastAsia" w:ascii="黑体" w:eastAsia="黑体"/>
          <w:b/>
          <w:szCs w:val="21"/>
        </w:rPr>
      </w:pPr>
      <w:r>
        <w:rPr>
          <w:rFonts w:hint="eastAsia" w:ascii="黑体" w:eastAsia="黑体"/>
          <w:b/>
          <w:sz w:val="52"/>
          <w:szCs w:val="52"/>
        </w:rPr>
        <w:t>历史试题</w:t>
      </w:r>
    </w:p>
    <w:p>
      <w:pPr>
        <w:adjustRightInd w:val="0"/>
        <w:snapToGrid w:val="0"/>
        <w:spacing w:line="276" w:lineRule="auto"/>
        <w:jc w:val="left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注意事项：</w:t>
      </w:r>
    </w:p>
    <w:p>
      <w:pPr>
        <w:adjustRightInd w:val="0"/>
        <w:snapToGrid w:val="0"/>
        <w:spacing w:line="276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1．答卷前，考生务必将自己的姓名、准考证号填写在答题卡上。</w:t>
      </w:r>
    </w:p>
    <w:p>
      <w:pPr>
        <w:adjustRightInd w:val="0"/>
        <w:snapToGrid w:val="0"/>
        <w:spacing w:line="276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2．回答选择题时，选出每小题答案后，用铅笔把答题卡上对应题目的答案标号涂黑。如需改动，用橡皮擦干净后，再选涂其他答案标号。回答非选择题时，将答案写在答题卡上。写在本试卷上无效。</w:t>
      </w:r>
    </w:p>
    <w:p>
      <w:pPr>
        <w:adjustRightInd w:val="0"/>
        <w:snapToGrid w:val="0"/>
        <w:spacing w:line="276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3．考试结束后，请将本试题卷和答题卡一并交回。</w:t>
      </w:r>
    </w:p>
    <w:p>
      <w:pPr>
        <w:spacing w:line="276" w:lineRule="auto"/>
        <w:jc w:val="center"/>
        <w:rPr>
          <w:rFonts w:hint="eastAsia" w:ascii="黑体" w:eastAsia="黑体"/>
          <w:b/>
          <w:sz w:val="24"/>
        </w:rPr>
      </w:pPr>
      <w:r>
        <w:rPr>
          <w:rFonts w:hint="eastAsia" w:ascii="黑体" w:eastAsia="黑体"/>
          <w:b/>
          <w:sz w:val="24"/>
        </w:rPr>
        <w:t>本试卷满分为</w:t>
      </w:r>
      <w:r>
        <w:rPr>
          <w:rFonts w:ascii="黑体" w:eastAsia="黑体"/>
          <w:b/>
          <w:sz w:val="24"/>
        </w:rPr>
        <w:t>100</w:t>
      </w:r>
      <w:r>
        <w:rPr>
          <w:rFonts w:hint="eastAsia" w:ascii="黑体" w:eastAsia="黑体"/>
          <w:b/>
          <w:sz w:val="24"/>
        </w:rPr>
        <w:t>分，考试时间为</w:t>
      </w:r>
      <w:r>
        <w:rPr>
          <w:rFonts w:ascii="黑体" w:eastAsia="黑体"/>
          <w:b/>
          <w:sz w:val="24"/>
        </w:rPr>
        <w:t>75</w:t>
      </w:r>
      <w:r>
        <w:rPr>
          <w:rFonts w:hint="eastAsia" w:ascii="黑体" w:eastAsia="黑体"/>
          <w:b/>
          <w:sz w:val="24"/>
        </w:rPr>
        <w:t>分钟。</w:t>
      </w:r>
    </w:p>
    <w:p>
      <w:pPr>
        <w:spacing w:line="276" w:lineRule="auto"/>
        <w:jc w:val="center"/>
        <w:rPr>
          <w:rFonts w:eastAsia="黑体"/>
          <w:b/>
          <w:sz w:val="24"/>
        </w:rPr>
      </w:pPr>
      <w:r>
        <w:rPr>
          <w:rFonts w:hint="eastAsia" w:ascii="黑体" w:eastAsia="黑体"/>
          <w:b/>
          <w:sz w:val="36"/>
          <w:szCs w:val="36"/>
        </w:rPr>
        <w:t>卷Ⅰ</w:t>
      </w:r>
      <w:r>
        <w:rPr>
          <w:rFonts w:eastAsia="黑体"/>
          <w:b/>
          <w:sz w:val="24"/>
        </w:rPr>
        <w:t>（选择题，共45分）</w:t>
      </w:r>
    </w:p>
    <w:p>
      <w:pPr>
        <w:spacing w:line="276" w:lineRule="auto"/>
        <w:jc w:val="left"/>
        <w:rPr>
          <w:rFonts w:hint="eastAsia" w:ascii="黑体" w:eastAsia="黑体"/>
          <w:b/>
          <w:sz w:val="24"/>
        </w:rPr>
      </w:pPr>
      <w:r>
        <w:rPr>
          <w:rFonts w:hint="eastAsia" w:ascii="黑体" w:eastAsia="黑体"/>
          <w:b/>
          <w:sz w:val="24"/>
        </w:rPr>
        <w:t>一、选择题（共1</w:t>
      </w:r>
      <w:r>
        <w:rPr>
          <w:rFonts w:ascii="黑体" w:eastAsia="黑体"/>
          <w:b/>
          <w:sz w:val="24"/>
        </w:rPr>
        <w:t>5</w:t>
      </w:r>
      <w:r>
        <w:rPr>
          <w:rFonts w:hint="eastAsia" w:ascii="黑体" w:eastAsia="黑体"/>
          <w:b/>
          <w:sz w:val="24"/>
        </w:rPr>
        <w:t>小题，每题3分，共4</w:t>
      </w:r>
      <w:r>
        <w:rPr>
          <w:rFonts w:ascii="黑体" w:eastAsia="黑体"/>
          <w:b/>
          <w:sz w:val="24"/>
        </w:rPr>
        <w:t>5</w:t>
      </w:r>
      <w:r>
        <w:rPr>
          <w:rFonts w:hint="eastAsia" w:ascii="黑体" w:eastAsia="黑体"/>
          <w:b/>
          <w:sz w:val="24"/>
        </w:rPr>
        <w:t>分。在每题给出的四个选项中，只有一项符合题目要求）</w:t>
      </w:r>
    </w:p>
    <w:p>
      <w:pPr>
        <w:spacing w:line="400" w:lineRule="exact"/>
        <w:ind w:firstLine="420" w:firstLineChars="200"/>
        <w:jc w:val="left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1.盘庚迁于殷，民不适有居。率吁众戚出矢言，曰：“我王来，既爰宅于兹。重我民，无尽刘。不能胥匡以生，卜稽曰，其如台？……今不承于古，罔知天之断命。矧曰其克从先王之烈。据此可知商朝</w:t>
      </w:r>
    </w:p>
    <w:p>
      <w:pPr>
        <w:spacing w:line="400" w:lineRule="exact"/>
        <w:ind w:firstLine="420" w:firstLineChars="200"/>
        <w:jc w:val="left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A.民本思想开始出现              B.天命观念不断弱化</w:t>
      </w:r>
    </w:p>
    <w:p>
      <w:pPr>
        <w:spacing w:line="400" w:lineRule="exact"/>
        <w:ind w:firstLine="420" w:firstLineChars="200"/>
        <w:jc w:val="left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C.思想的民主化色彩              D.王权具有神秘色彩</w:t>
      </w:r>
    </w:p>
    <w:p>
      <w:pPr>
        <w:spacing w:line="360" w:lineRule="auto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2.《汉官解诂》对某一官职做了如下记载：“     专郡，信理庶绩，劝农赈贫，决讼断辟，兴利除害，检举郡奸，举善黜恶，诛讨暴残。”空格处官职应为</w:t>
      </w:r>
    </w:p>
    <w:p>
      <w:pPr>
        <w:spacing w:line="360" w:lineRule="auto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A.太守           B.郡尉         C.刺史        D.司隶校尉</w:t>
      </w:r>
    </w:p>
    <w:p>
      <w:pPr>
        <w:spacing w:line="400" w:lineRule="exact"/>
        <w:ind w:firstLine="430"/>
        <w:rPr>
          <w:rFonts w:hint="eastAsia" w:ascii="宋体" w:hAnsi="宋体"/>
          <w:bCs/>
          <w:szCs w:val="21"/>
        </w:rPr>
      </w:pPr>
      <w:r>
        <w:rPr>
          <w:rFonts w:ascii="宋体" w:hAnsi="宋体"/>
          <w:bCs/>
          <w:szCs w:val="21"/>
        </w:rPr>
        <w:t>3.</w:t>
      </w:r>
      <w:r>
        <w:rPr>
          <w:rFonts w:hint="eastAsia" w:ascii="宋体" w:hAnsi="宋体"/>
          <w:bCs/>
          <w:szCs w:val="21"/>
        </w:rPr>
        <w:t>南北朝时期，士庶不婚的现象得到了政权的肯定和支持，甚至平民中的良贱通婚也被禁止。而到了唐代，士庶不婚现象被打破，婚姻中重财的风气逐渐加重，并蔓延到社会下层，“聘财”与“嫁妆”在婚姻中的作用越来越重要。随着科举制的发展，社会上才子佳人的观念兴起，文人才子成为理想的择偶对象。这一变化反映了唐朝</w:t>
      </w:r>
    </w:p>
    <w:p>
      <w:pPr>
        <w:spacing w:line="400" w:lineRule="exact"/>
        <w:ind w:firstLine="43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 xml:space="preserve">A.商品经济的发展  </w:t>
      </w:r>
      <w:r>
        <w:rPr>
          <w:rFonts w:ascii="宋体" w:hAnsi="宋体"/>
          <w:bCs/>
          <w:szCs w:val="21"/>
        </w:rPr>
        <w:t xml:space="preserve">               </w:t>
      </w:r>
      <w:r>
        <w:rPr>
          <w:rFonts w:hint="eastAsia" w:ascii="宋体" w:hAnsi="宋体"/>
          <w:bCs/>
          <w:szCs w:val="21"/>
        </w:rPr>
        <w:t>B.社会的平民化趋势</w:t>
      </w:r>
    </w:p>
    <w:p>
      <w:pPr>
        <w:spacing w:line="400" w:lineRule="exact"/>
        <w:ind w:firstLine="43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 xml:space="preserve">C.社会思想观念的转变   </w:t>
      </w:r>
      <w:r>
        <w:rPr>
          <w:rFonts w:ascii="宋体" w:hAnsi="宋体"/>
          <w:bCs/>
          <w:szCs w:val="21"/>
        </w:rPr>
        <w:t xml:space="preserve">          </w:t>
      </w:r>
      <w:r>
        <w:rPr>
          <w:rFonts w:hint="eastAsia" w:ascii="宋体" w:hAnsi="宋体"/>
          <w:bCs/>
          <w:szCs w:val="21"/>
        </w:rPr>
        <w:t>D.等级制度被打破</w:t>
      </w:r>
    </w:p>
    <w:p>
      <w:pPr>
        <w:spacing w:line="400" w:lineRule="exact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 xml:space="preserve"> </w:t>
      </w:r>
      <w:r>
        <w:rPr>
          <w:rFonts w:ascii="宋体" w:hAnsi="宋体"/>
          <w:bCs/>
          <w:szCs w:val="21"/>
        </w:rPr>
        <w:t xml:space="preserve">   4.</w:t>
      </w:r>
      <w:r>
        <w:rPr>
          <w:rFonts w:hint="eastAsia" w:ascii="宋体" w:hAnsi="宋体"/>
          <w:bCs/>
          <w:szCs w:val="21"/>
        </w:rPr>
        <w:t>元朝人陈椿曾任盐司官吏，在其关于浙西海盐生产的重要著作中附诗云：“东海有大利，斯民不敢争。并海立官舍，兵卫森军营。私鬻官有禁，私鬻官有刑。团厅严且肃，立法无弊生”。这说明元朝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A.匠户制度下人身依附关系加强    B.继续厉行重农抑商的经济政策</w:t>
      </w:r>
    </w:p>
    <w:p>
      <w:pPr>
        <w:spacing w:line="40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C.政府企图垄断盐业生产和销售    D.注重平准食盐价格以维护稳定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5</w:t>
      </w:r>
      <w:r>
        <w:rPr>
          <w:rFonts w:ascii="宋体" w:hAnsi="宋体"/>
          <w:bCs/>
          <w:szCs w:val="21"/>
        </w:rPr>
        <w:t>.</w:t>
      </w:r>
      <w:r>
        <w:rPr>
          <w:rFonts w:hint="eastAsia" w:ascii="宋体" w:hAnsi="宋体"/>
          <w:bCs/>
          <w:szCs w:val="21"/>
        </w:rPr>
        <w:t>李贽认为儒家道统说是统治者打击异端、推行文化专制的工具，并不存在什么圣圣相传的序列，甚至发出宋代理学家承续儒家道统却国力衰弱，“反不如彼之失传者哉？”的质疑。他反对独尊儒学，认为百家之学各有所长。李贽的观点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A.动摇了程朱理学正统地位       B.符合时代发展的趋势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C.力图回归儒学思想的本原       D.为中国民主思想滥觞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6.有学者研究指出，袁世凯当政期间，中央政府对南方各省缺乏实际支配力。当时的政治格局，是一个日益倾向中央集权的国家结构的总统，主持着一个事实上的联邦政府。为重新塑造中央权威（亦有个人野心的因素），袁世凯决定回归帝制。据此可知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A.民主共和制不符合历史发展潮流       B.恢复帝制基于当时的现实需求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C.南方各省普遍缺乏国家统一意识       D.近代中国国家政治转型的艰难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7.1904年，张謇在南通创办大生纱厂后，又创立通海垦牧公司，专门用于收购苏北海滨的盐场荒地。1914年以来，通海垦牧公司从淮南垦务局贱价买到许多土地。此外，大生纱厂所得到的借款，也大量用来兼并土地。张謇的做法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A.受到“实业救国”思潮影响     B.缓解了民族资本的资金压力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C.不利于民族工业的发展壮大     D.有助于抵制列强的经济侵略</w:t>
      </w:r>
    </w:p>
    <w:tbl>
      <w:tblPr>
        <w:tblStyle w:val="4"/>
        <w:tblpPr w:leftFromText="180" w:rightFromText="180" w:vertAnchor="text" w:horzAnchor="margin" w:tblpY="40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5"/>
        <w:gridCol w:w="60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" w:hRule="atLeast"/>
        </w:trPr>
        <w:tc>
          <w:tcPr>
            <w:tcW w:w="2235" w:type="dxa"/>
            <w:shd w:val="clear" w:color="auto" w:fill="auto"/>
          </w:tcPr>
          <w:p>
            <w:pPr>
              <w:jc w:val="center"/>
              <w:rPr>
                <w:rFonts w:hint="eastAsia" w:ascii="宋体" w:hAnsi="宋体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来源</w:t>
            </w:r>
          </w:p>
        </w:tc>
        <w:tc>
          <w:tcPr>
            <w:tcW w:w="6095" w:type="dxa"/>
            <w:shd w:val="clear" w:color="auto" w:fill="auto"/>
          </w:tcPr>
          <w:p>
            <w:pPr>
              <w:jc w:val="center"/>
              <w:rPr>
                <w:rFonts w:hint="eastAsia" w:ascii="宋体" w:hAnsi="宋体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" w:hRule="atLeast"/>
        </w:trPr>
        <w:tc>
          <w:tcPr>
            <w:tcW w:w="2235" w:type="dxa"/>
            <w:shd w:val="clear" w:color="auto" w:fill="auto"/>
          </w:tcPr>
          <w:p>
            <w:pPr>
              <w:jc w:val="center"/>
              <w:rPr>
                <w:rFonts w:hint="eastAsia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朝鲜政府内务部</w:t>
            </w:r>
          </w:p>
          <w:p>
            <w:pPr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(1950年06月</w:t>
            </w:r>
          </w:p>
          <w:p>
            <w:pPr>
              <w:jc w:val="center"/>
              <w:rPr>
                <w:rFonts w:hint="eastAsia" w:ascii="宋体" w:hAnsi="宋体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25日)</w:t>
            </w:r>
          </w:p>
        </w:tc>
        <w:tc>
          <w:tcPr>
            <w:tcW w:w="6095" w:type="dxa"/>
            <w:shd w:val="clear" w:color="auto" w:fill="auto"/>
          </w:tcPr>
          <w:p>
            <w:pPr>
              <w:jc w:val="left"/>
              <w:rPr>
                <w:rFonts w:hint="eastAsia" w:ascii="宋体" w:hAnsi="宋体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“南朝鲜伪政权的所谓国防军，于6月25日拂晓，在整个三八线地区向三八线以北地区开始了出其不意的进攻……现在共和国警备队正开展激烈的防御战来抵抗敌人。”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9" w:hRule="atLeast"/>
        </w:trPr>
        <w:tc>
          <w:tcPr>
            <w:tcW w:w="2235" w:type="dxa"/>
            <w:shd w:val="clear" w:color="auto" w:fill="auto"/>
          </w:tcPr>
          <w:p>
            <w:pPr>
              <w:jc w:val="center"/>
              <w:rPr>
                <w:rFonts w:hint="eastAsia" w:ascii="宋体" w:hAnsi="宋体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苏联政府给美国政府的照会(1950年06月27日)</w:t>
            </w:r>
          </w:p>
        </w:tc>
        <w:tc>
          <w:tcPr>
            <w:tcW w:w="6095" w:type="dxa"/>
            <w:shd w:val="clear" w:color="auto" w:fill="auto"/>
          </w:tcPr>
          <w:p>
            <w:pPr>
              <w:jc w:val="left"/>
              <w:rPr>
                <w:rFonts w:hint="eastAsia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“根据苏联政府所证实的事实，朝鲜爆发的事件，是由南朝鲜当局的军队向北朝鲜的边境地区进攻而挑起来的，所以这一事件的责任是南朝鲜当局和背后支持它的人。”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2235" w:type="dxa"/>
            <w:shd w:val="clear" w:color="auto" w:fill="auto"/>
          </w:tcPr>
          <w:p>
            <w:pPr>
              <w:jc w:val="center"/>
              <w:rPr>
                <w:rFonts w:hint="eastAsia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美国驻韩国大使馆发给美国国务院的报告(1950年06月25日)</w:t>
            </w:r>
          </w:p>
        </w:tc>
        <w:tc>
          <w:tcPr>
            <w:tcW w:w="6095" w:type="dxa"/>
            <w:shd w:val="clear" w:color="auto" w:fill="auto"/>
          </w:tcPr>
          <w:p>
            <w:pPr>
              <w:jc w:val="left"/>
              <w:rPr>
                <w:rFonts w:hint="eastAsia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“据南韩军队报告，北朝鲜部队今天凌晨向大韩民国领域的好几个据点进犯。……从进攻的性质和发动的方式来看，似乎已构成一次对大韩民国的全面进攻。”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2235" w:type="dxa"/>
            <w:shd w:val="clear" w:color="auto" w:fill="auto"/>
          </w:tcPr>
          <w:p>
            <w:pPr>
              <w:spacing w:before="156" w:beforeLines="50"/>
              <w:jc w:val="center"/>
              <w:rPr>
                <w:rFonts w:hint="eastAsia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韩国国防部(1950年06月25日)</w:t>
            </w:r>
          </w:p>
        </w:tc>
        <w:tc>
          <w:tcPr>
            <w:tcW w:w="6095" w:type="dxa"/>
            <w:shd w:val="clear" w:color="auto" w:fill="auto"/>
          </w:tcPr>
          <w:p>
            <w:pPr>
              <w:jc w:val="left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北朝鲜的进攻是在凌晨4时至5时发起的，两个小时的密集炮火轰击之后，北朝鲜部队越过瓮津、开城和春川附近的分界线，并从江陵南北两面的海上登陆。</w:t>
            </w:r>
          </w:p>
        </w:tc>
      </w:tr>
    </w:tbl>
    <w:p>
      <w:pPr>
        <w:spacing w:line="400" w:lineRule="exact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 xml:space="preserve"> </w:t>
      </w:r>
      <w:r>
        <w:rPr>
          <w:rFonts w:ascii="宋体" w:hAnsi="宋体"/>
          <w:bCs/>
          <w:szCs w:val="21"/>
        </w:rPr>
        <w:t xml:space="preserve">   8.</w:t>
      </w:r>
      <w:r>
        <w:rPr>
          <w:rFonts w:hint="eastAsia" w:ascii="宋体" w:hAnsi="宋体"/>
          <w:bCs/>
          <w:szCs w:val="21"/>
        </w:rPr>
        <w:t>关于朝鲜战争爆发的起因，有以下几条史料：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据此可知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ascii="宋体" w:hAnsi="宋体"/>
          <w:bCs/>
          <w:szCs w:val="21"/>
        </w:rPr>
        <w:t>A.</w:t>
      </w:r>
      <w:r>
        <w:rPr>
          <w:rFonts w:hint="eastAsia" w:ascii="宋体" w:hAnsi="宋体"/>
          <w:bCs/>
          <w:szCs w:val="21"/>
        </w:rPr>
        <w:t>朝鲜战争爆发的起因无从知晓     B</w:t>
      </w:r>
      <w:r>
        <w:rPr>
          <w:rFonts w:ascii="宋体" w:hAnsi="宋体"/>
          <w:bCs/>
          <w:szCs w:val="21"/>
        </w:rPr>
        <w:t>.</w:t>
      </w:r>
      <w:r>
        <w:rPr>
          <w:rFonts w:hint="eastAsia" w:ascii="宋体" w:hAnsi="宋体"/>
          <w:bCs/>
          <w:szCs w:val="21"/>
        </w:rPr>
        <w:t>史学成果随着研究深入而不断更新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C.同一历史事实会有不同的记载     D.政治立场的影响导致历史记载失实</w:t>
      </w:r>
    </w:p>
    <w:p>
      <w:pPr>
        <w:spacing w:line="40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9</w:t>
      </w:r>
      <w:r>
        <w:rPr>
          <w:rFonts w:ascii="宋体" w:hAnsi="宋体"/>
          <w:bCs/>
          <w:szCs w:val="21"/>
        </w:rPr>
        <w:t>.</w:t>
      </w:r>
      <w:r>
        <w:rPr>
          <w:rFonts w:hint="eastAsia" w:ascii="宋体" w:hAnsi="宋体"/>
          <w:bCs/>
          <w:szCs w:val="21"/>
        </w:rPr>
        <w:t>下表是《1979-1982年国民收入和消费、积累情况》，据此可知</w:t>
      </w:r>
    </w:p>
    <w:p>
      <w:pPr>
        <w:spacing w:line="360" w:lineRule="auto"/>
        <w:jc w:val="center"/>
        <w:rPr>
          <w:b/>
          <w:color w:val="FF0000"/>
          <w:szCs w:val="21"/>
        </w:rPr>
      </w:pPr>
      <w:r>
        <w:rPr>
          <w:b/>
          <w:color w:val="FF0000"/>
          <w:szCs w:val="21"/>
        </w:rPr>
        <w:pict>
          <v:shape id="_x0000_i1025" o:spt="75" alt="屏幕截图 2022-03-23 143802" type="#_x0000_t75" style="height:182.05pt;width:333.2pt;" filled="f" o:preferrelative="t" stroked="f" coordsize="21600,21600">
            <v:path/>
            <v:fill on="f" focussize="0,0"/>
            <v:stroke on="f" joinstyle="miter"/>
            <v:imagedata r:id="rId8" o:title="屏幕截图 2022-03-23 143802"/>
            <o:lock v:ext="edit" aspectratio="t"/>
            <w10:wrap type="none"/>
            <w10:anchorlock/>
          </v:shape>
        </w:pict>
      </w:r>
    </w:p>
    <w:p>
      <w:pPr>
        <w:spacing w:line="40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A.国家扩大基本建设投资      B.人民生活水平有所提高</w:t>
      </w:r>
    </w:p>
    <w:p>
      <w:pPr>
        <w:spacing w:line="40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C.市场经济体制初步确立      D.国民经济结构有所改善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1</w:t>
      </w:r>
      <w:r>
        <w:rPr>
          <w:rFonts w:ascii="宋体" w:hAnsi="宋体"/>
          <w:bCs/>
          <w:szCs w:val="21"/>
        </w:rPr>
        <w:t>0.</w:t>
      </w:r>
      <w:r>
        <w:rPr>
          <w:rFonts w:hint="eastAsia" w:ascii="宋体" w:hAnsi="宋体"/>
          <w:bCs/>
          <w:szCs w:val="21"/>
        </w:rPr>
        <w:t>202</w:t>
      </w:r>
      <w:r>
        <w:rPr>
          <w:rFonts w:ascii="宋体" w:hAnsi="宋体"/>
          <w:bCs/>
          <w:szCs w:val="21"/>
        </w:rPr>
        <w:t>2</w:t>
      </w:r>
      <w:r>
        <w:rPr>
          <w:rFonts w:hint="eastAsia" w:ascii="宋体" w:hAnsi="宋体"/>
          <w:bCs/>
          <w:szCs w:val="21"/>
        </w:rPr>
        <w:t>年北京冬奥会开幕式中，一个环节为众多儿童手举和平鸽样式的灯组成一个心形图案。在图案即将完成时右下角出现一个“迷路”的孩子，在另外一个孩子的带领下最终完成了整个图案。而在“迷路”的孩子回归图案时，众多孩子都对“迷路”的孩子翘首以待。这反映了</w:t>
      </w:r>
    </w:p>
    <w:p>
      <w:pPr>
        <w:tabs>
          <w:tab w:val="left" w:pos="4153"/>
        </w:tabs>
        <w:adjustRightInd w:val="0"/>
        <w:snapToGrid w:val="0"/>
        <w:jc w:val="center"/>
        <w:textAlignment w:val="center"/>
        <w:rPr>
          <w:rFonts w:hint="eastAsia" w:ascii="宋体" w:hAnsi="宋体" w:cs="宋体"/>
          <w:color w:val="191919"/>
          <w:szCs w:val="21"/>
          <w:shd w:val="clear" w:color="auto" w:fill="FFFFFF"/>
        </w:rPr>
      </w:pPr>
      <w:r>
        <w:rPr>
          <w:rFonts w:hint="eastAsia" w:ascii="宋体" w:hAnsi="宋体" w:cs="宋体"/>
          <w:color w:val="191919"/>
          <w:szCs w:val="21"/>
          <w:shd w:val="clear" w:color="auto" w:fill="FFFFFF"/>
        </w:rPr>
        <w:pict>
          <v:shape id="_x0000_i1026" o:spt="75" alt="163b55e53968450d918595eef9b4230e" type="#_x0000_t75" style="height:120.3pt;width:219.75pt;" filled="f" o:preferrelative="t" stroked="f" coordsize="21600,21600">
            <v:path/>
            <v:fill on="f" focussize="0,0"/>
            <v:stroke on="f" joinstyle="miter"/>
            <v:imagedata r:id="rId9" cropbottom="3886f" o:title="163b55e53968450d918595eef9b4230e"/>
            <o:lock v:ext="edit" aspectratio="t"/>
            <w10:wrap type="none"/>
            <w10:anchorlock/>
          </v:shape>
        </w:pic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</w:t>
      </w:r>
      <w:r>
        <w:rPr>
          <w:rFonts w:ascii="宋体" w:hAnsi="宋体"/>
          <w:bCs/>
          <w:szCs w:val="21"/>
        </w:rPr>
        <w:t>.</w:t>
      </w:r>
      <w:r>
        <w:rPr>
          <w:rFonts w:hint="eastAsia" w:ascii="宋体" w:hAnsi="宋体"/>
          <w:bCs/>
          <w:szCs w:val="21"/>
        </w:rPr>
        <w:t>海峡两岸关系正在逐渐解冻</w:t>
      </w:r>
      <w:r>
        <w:rPr>
          <w:rFonts w:hint="eastAsia" w:ascii="宋体" w:hAnsi="宋体"/>
          <w:bCs/>
          <w:szCs w:val="21"/>
        </w:rPr>
        <w:tab/>
      </w:r>
      <w:r>
        <w:rPr>
          <w:rFonts w:ascii="宋体" w:hAnsi="宋体"/>
          <w:bCs/>
          <w:szCs w:val="21"/>
        </w:rPr>
        <w:t xml:space="preserve">  </w:t>
      </w:r>
      <w:r>
        <w:rPr>
          <w:rFonts w:hint="eastAsia" w:ascii="宋体" w:hAnsi="宋体"/>
          <w:bCs/>
          <w:szCs w:val="21"/>
        </w:rPr>
        <w:t>B.一国两制构想获得广泛认同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ascii="宋体" w:hAnsi="宋体"/>
          <w:bCs/>
          <w:szCs w:val="21"/>
        </w:rPr>
        <w:t>C.</w:t>
      </w:r>
      <w:r>
        <w:rPr>
          <w:rFonts w:hint="eastAsia" w:ascii="宋体" w:hAnsi="宋体"/>
          <w:bCs/>
          <w:szCs w:val="21"/>
        </w:rPr>
        <w:t>海峡两岸对祖国统一的期盼</w:t>
      </w:r>
      <w:r>
        <w:rPr>
          <w:rFonts w:hint="eastAsia" w:ascii="宋体" w:hAnsi="宋体"/>
          <w:bCs/>
          <w:szCs w:val="21"/>
        </w:rPr>
        <w:tab/>
      </w:r>
      <w:r>
        <w:rPr>
          <w:rFonts w:ascii="宋体" w:hAnsi="宋体"/>
          <w:bCs/>
          <w:szCs w:val="21"/>
        </w:rPr>
        <w:t xml:space="preserve">  </w:t>
      </w:r>
      <w:r>
        <w:rPr>
          <w:rFonts w:hint="eastAsia" w:ascii="宋体" w:hAnsi="宋体"/>
          <w:bCs/>
          <w:szCs w:val="21"/>
        </w:rPr>
        <w:t>D.提出了“一个中国”的理念</w:t>
      </w:r>
    </w:p>
    <w:p>
      <w:pPr>
        <w:spacing w:line="400" w:lineRule="exact"/>
        <w:ind w:firstLine="420" w:firstLineChars="200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11.希腊人认为世界就是一出戏剧、一场悲剧。但人类至高美德是卓越，所以人不应该逃避苦难，而应直面苦难、锤炼意志，在生活的悲剧中升华。这表明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A.希腊悲剧体现了文学的繁荣    B.希腊思想渗透浓烈人文主义</w:t>
      </w:r>
    </w:p>
    <w:p>
      <w:pPr>
        <w:spacing w:line="40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C.希腊人追求现实生活的幸福    D.希腊人具有人类至高的品德</w:t>
      </w:r>
    </w:p>
    <w:p>
      <w:pPr>
        <w:spacing w:line="360" w:lineRule="auto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1</w:t>
      </w:r>
      <w:r>
        <w:rPr>
          <w:rFonts w:ascii="宋体" w:hAnsi="宋体"/>
          <w:bCs/>
          <w:szCs w:val="21"/>
        </w:rPr>
        <w:t>2.</w:t>
      </w:r>
      <w:r>
        <w:rPr>
          <w:rFonts w:hint="eastAsia" w:ascii="宋体" w:hAnsi="宋体"/>
          <w:bCs/>
          <w:szCs w:val="21"/>
        </w:rPr>
        <w:t>15世纪时欧洲的人们声称：许多主教力图拥有丰富的世俗财富；罗马教廷从德国、英国和法国“好基督徒”的口袋中榨取了大量的金钱，让那些意大利的“坏基督徒”在世俗的享乐上任意挥霍。材料反映了</w:t>
      </w:r>
    </w:p>
    <w:p>
      <w:pPr>
        <w:spacing w:line="360" w:lineRule="auto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A.罗马主教拥有丰富世俗财富     B.宗教榨取激化欧洲各国矛盾</w:t>
      </w:r>
    </w:p>
    <w:p>
      <w:pPr>
        <w:spacing w:line="360" w:lineRule="auto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C.欧洲社会对教会改革的期待     D.资本主义经济发展必然需要</w:t>
      </w:r>
    </w:p>
    <w:p>
      <w:pPr>
        <w:spacing w:line="360" w:lineRule="auto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1</w:t>
      </w:r>
      <w:r>
        <w:rPr>
          <w:rFonts w:ascii="宋体" w:hAnsi="宋体"/>
          <w:bCs/>
          <w:szCs w:val="21"/>
        </w:rPr>
        <w:t>3</w:t>
      </w:r>
      <w:r>
        <w:rPr>
          <w:rFonts w:hint="eastAsia" w:ascii="宋体" w:hAnsi="宋体"/>
          <w:bCs/>
          <w:szCs w:val="21"/>
        </w:rPr>
        <w:t>.1840年4月，英国议会下院就是否对华宣战一事展开激烈辩论。执政党认为必须为保护贸易和英国人的生命财产发动战争，反对党则坚决反对一场有伤道德的战争，最后英国下院以9票优势通过发动战争提案。在战争进行过程中，内阁发生更迭，原来的反对党上台组阁，却将鸦片战争规模进一步扩大，这说明</w:t>
      </w:r>
    </w:p>
    <w:p>
      <w:pPr>
        <w:spacing w:line="360" w:lineRule="auto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A.资产阶级政党根本利益一致         B.英国君主立宪制得到完善</w:t>
      </w:r>
    </w:p>
    <w:p>
      <w:pPr>
        <w:spacing w:line="360" w:lineRule="auto"/>
        <w:ind w:firstLine="420" w:firstLineChars="200"/>
        <w:rPr>
          <w:rFonts w:ascii="宋体" w:hAnsi="宋体"/>
          <w:bCs/>
          <w:szCs w:val="21"/>
        </w:rPr>
      </w:pPr>
      <w:r>
        <w:rPr>
          <w:rFonts w:ascii="宋体" w:hAnsi="宋体"/>
          <w:bCs/>
          <w:szCs w:val="21"/>
        </w:rPr>
        <w:pict>
          <v:shape id="_x0000_s1028" o:spid="_x0000_s1028" o:spt="202" type="#_x0000_t202" style="position:absolute;left:0pt;margin-left:378.85pt;margin-top:-239.55pt;height:727.95pt;width:85.05pt;mso-wrap-distance-bottom:3.6pt;mso-wrap-distance-left:9pt;mso-wrap-distance-right:9pt;mso-wrap-distance-top:3.6pt;z-index:251662336;mso-width-relative:margin;mso-height-relative:margin;" filled="t" stroked="t" coordsize="21600,21600">
            <v:path/>
            <v:fill on="t" focussize="0,0"/>
            <v:stroke joinstyle="miter"/>
            <v:imagedata o:title=""/>
            <o:lock v:ext="edit" aspectratio="f"/>
            <v:textbox style="layout-flow:vertical;mso-layout-flow-alt:bottom-to-top;">
              <w:txbxContent>
                <w:p/>
              </w:txbxContent>
            </v:textbox>
            <w10:wrap type="square"/>
          </v:shape>
        </w:pict>
      </w:r>
      <w:r>
        <w:rPr>
          <w:rFonts w:ascii="宋体" w:hAnsi="宋体"/>
          <w:bCs/>
          <w:szCs w:val="21"/>
        </w:rPr>
        <w:t>C</w:t>
      </w:r>
      <w:r>
        <w:rPr>
          <w:rFonts w:hint="eastAsia" w:ascii="宋体" w:hAnsi="宋体"/>
          <w:bCs/>
          <w:szCs w:val="21"/>
        </w:rPr>
        <w:t>.英国责任内阁制已正式确立         D.英国议会改革的成效显著</w:t>
      </w:r>
    </w:p>
    <w:p>
      <w:pPr>
        <w:spacing w:line="360" w:lineRule="auto"/>
        <w:ind w:firstLine="420" w:firstLineChars="200"/>
        <w:jc w:val="left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14.苏联政府于 1930 年</w:t>
      </w:r>
      <w:bookmarkStart w:id="0" w:name="_Hlk102090465"/>
      <w:r>
        <w:rPr>
          <w:rFonts w:hint="eastAsia" w:ascii="宋体" w:hAnsi="宋体"/>
          <w:bCs/>
          <w:szCs w:val="21"/>
        </w:rPr>
        <w:t>提出了整顿、巩固和发展农业集体化的方针</w:t>
      </w:r>
      <w:bookmarkEnd w:id="0"/>
      <w:r>
        <w:rPr>
          <w:rFonts w:hint="eastAsia" w:ascii="宋体" w:hAnsi="宋体"/>
          <w:bCs/>
          <w:szCs w:val="21"/>
        </w:rPr>
        <w:t>。明文规定，反对歪曲党的路线的行为，禁止采用强迫手段实行集体化，禁止将农民住宅、奶牛、猪、羊家禽等收归国有，恢复农贸市场等。苏联政府的这一做法</w:t>
      </w:r>
    </w:p>
    <w:p>
      <w:pPr>
        <w:spacing w:line="360" w:lineRule="auto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 xml:space="preserve">A.是苏联新经济政策的继续  </w:t>
      </w:r>
      <w:r>
        <w:rPr>
          <w:rFonts w:ascii="宋体" w:hAnsi="宋体"/>
          <w:bCs/>
          <w:szCs w:val="21"/>
        </w:rPr>
        <w:t xml:space="preserve">         </w:t>
      </w:r>
      <w:r>
        <w:rPr>
          <w:rFonts w:hint="eastAsia" w:ascii="宋体" w:hAnsi="宋体"/>
          <w:bCs/>
          <w:szCs w:val="21"/>
        </w:rPr>
        <w:t>B.利于</w:t>
      </w:r>
      <w:bookmarkStart w:id="1" w:name="_Hlk102090510"/>
      <w:r>
        <w:rPr>
          <w:rFonts w:hint="eastAsia" w:ascii="宋体" w:hAnsi="宋体"/>
          <w:bCs/>
          <w:szCs w:val="21"/>
        </w:rPr>
        <w:t>巩固工农苏维埃政权</w:t>
      </w:r>
      <w:bookmarkEnd w:id="1"/>
    </w:p>
    <w:p>
      <w:pPr>
        <w:spacing w:line="360" w:lineRule="auto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C.实现了</w:t>
      </w:r>
      <w:bookmarkStart w:id="2" w:name="_Hlk102090271"/>
      <w:r>
        <w:rPr>
          <w:rFonts w:hint="eastAsia" w:ascii="宋体" w:hAnsi="宋体"/>
          <w:bCs/>
          <w:szCs w:val="21"/>
        </w:rPr>
        <w:t>苏联经济均衡发展</w:t>
      </w:r>
      <w:bookmarkEnd w:id="2"/>
      <w:r>
        <w:rPr>
          <w:rFonts w:hint="eastAsia" w:ascii="宋体" w:hAnsi="宋体"/>
          <w:bCs/>
          <w:szCs w:val="21"/>
        </w:rPr>
        <w:t xml:space="preserve"> </w:t>
      </w:r>
      <w:r>
        <w:rPr>
          <w:rFonts w:ascii="宋体" w:hAnsi="宋体"/>
          <w:bCs/>
          <w:szCs w:val="21"/>
        </w:rPr>
        <w:t xml:space="preserve">          </w:t>
      </w:r>
      <w:r>
        <w:rPr>
          <w:rFonts w:hint="eastAsia" w:ascii="宋体" w:hAnsi="宋体"/>
          <w:bCs/>
          <w:szCs w:val="21"/>
        </w:rPr>
        <w:t>D.建立了社会主义农业制度</w:t>
      </w:r>
    </w:p>
    <w:p>
      <w:pPr>
        <w:spacing w:line="360" w:lineRule="auto"/>
        <w:ind w:firstLine="420" w:firstLineChars="200"/>
        <w:rPr>
          <w:rFonts w:ascii="宋体" w:hAnsi="宋体"/>
          <w:bCs/>
          <w:szCs w:val="21"/>
        </w:rPr>
      </w:pPr>
      <w:r>
        <w:rPr>
          <w:rFonts w:ascii="宋体" w:hAnsi="宋体"/>
          <w:bCs/>
          <w:szCs w:val="21"/>
        </w:rPr>
        <w:t>15.</w:t>
      </w:r>
      <w:r>
        <w:rPr>
          <w:rFonts w:hint="eastAsia" w:ascii="宋体" w:hAnsi="宋体"/>
          <w:bCs/>
          <w:szCs w:val="21"/>
        </w:rPr>
        <w:t>下图左侧为基督教中仁慈善良的圣人，生活在4世纪的圣尼古拉，也是圣诞老人的原型。右侧为20世纪可口可乐公司广告中出现的圣诞老人的形象，成为全球认可的大众形象。圣诞老人形象的演变说明了</w:t>
      </w:r>
    </w:p>
    <w:p>
      <w:pPr>
        <w:jc w:val="center"/>
        <w:rPr>
          <w:rFonts w:ascii="Calibri" w:hAnsi="Calibri"/>
          <w:color w:val="FF0000"/>
        </w:rPr>
      </w:pPr>
      <w:r>
        <w:rPr>
          <w:rFonts w:ascii="Calibri" w:hAnsi="Calibri"/>
          <w:color w:val="FF0000"/>
        </w:rPr>
        <w:pict>
          <v:shape id="_x0000_i1027" o:spt="75" type="#_x0000_t75" style="height:102.7pt;width:114.2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Calibri" w:hAnsi="Calibri"/>
          <w:color w:val="FF0000"/>
        </w:rPr>
        <w:t xml:space="preserve">  </w:t>
      </w:r>
      <w:r>
        <w:rPr>
          <w:rFonts w:ascii="Calibri" w:hAnsi="Calibri"/>
          <w:color w:val="FF0000"/>
        </w:rPr>
        <w:pict>
          <v:shape id="_x0000_i1028" o:spt="75" type="#_x0000_t75" style="height:103.45pt;width:106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A.商业发展削弱了宗教信仰         B.通俗文化助推全球化进程</w:t>
      </w:r>
    </w:p>
    <w:p>
      <w:pPr>
        <w:spacing w:line="360" w:lineRule="auto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B.美国确立了文化霸权地位         D.西方文化满足了时代需要</w:t>
      </w:r>
    </w:p>
    <w:p>
      <w:pPr>
        <w:spacing w:line="360" w:lineRule="auto"/>
        <w:jc w:val="center"/>
        <w:rPr>
          <w:rFonts w:eastAsia="黑体"/>
          <w:b/>
          <w:sz w:val="24"/>
        </w:rPr>
      </w:pPr>
      <w:r>
        <w:rPr>
          <w:rFonts w:hint="eastAsia" w:ascii="宋体" w:hAnsi="宋体"/>
          <w:b/>
          <w:szCs w:val="21"/>
        </w:rPr>
        <w:pict>
          <v:shape id="_x0000_s1031" o:spid="_x0000_s1031" o:spt="202" type="#_x0000_t202" style="position:absolute;left:0pt;margin-left:-50.4pt;margin-top:-52.25pt;height:727.95pt;width:85.05pt;mso-wrap-distance-bottom:3.6pt;mso-wrap-distance-left:9pt;mso-wrap-distance-right:9pt;mso-wrap-distance-top:3.6pt;z-index:251661312;mso-width-relative:margin;mso-height-relative:margin;" filled="t" stroked="t" coordsize="21600,21600">
            <v:path/>
            <v:fill on="t" focussize="0,0"/>
            <v:stroke joinstyle="miter"/>
            <v:imagedata o:title=""/>
            <o:lock v:ext="edit" aspectratio="f"/>
            <v:textbox style="layout-flow:vertical;mso-layout-flow-alt:bottom-to-top;">
              <w:txbxContent>
                <w:p/>
                <w:p/>
                <w:p>
                  <w:pPr>
                    <w:ind w:firstLine="3360" w:firstLineChars="1600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班级</w:t>
                  </w:r>
                  <w:r>
                    <w:rPr>
                      <w:rFonts w:hint="eastAsia"/>
                      <w:u w:val="single"/>
                    </w:rPr>
                    <w:t xml:space="preserve">                   </w:t>
                  </w:r>
                  <w:r>
                    <w:t xml:space="preserve">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  <w:u w:val="single"/>
                    </w:rPr>
                    <w:t xml:space="preserve">                   </w:t>
                  </w:r>
                  <w:r>
                    <w:t xml:space="preserve">  </w:t>
                  </w:r>
                  <w:r>
                    <w:rPr>
                      <w:rFonts w:hint="eastAsia"/>
                    </w:rPr>
                    <w:t>考号</w:t>
                  </w:r>
                  <w:r>
                    <w:rPr>
                      <w:rFonts w:hint="eastAsia"/>
                      <w:u w:val="single"/>
                    </w:rPr>
                    <w:t xml:space="preserve">                   </w:t>
                  </w:r>
                </w:p>
              </w:txbxContent>
            </v:textbox>
            <w10:wrap type="square"/>
          </v:shape>
        </w:pict>
      </w:r>
      <w:r>
        <w:rPr>
          <w:rFonts w:hint="eastAsia" w:ascii="黑体" w:eastAsia="黑体"/>
          <w:b/>
          <w:sz w:val="36"/>
          <w:szCs w:val="36"/>
        </w:rPr>
        <w:t>卷Ⅱ</w:t>
      </w:r>
      <w:r>
        <w:rPr>
          <w:rFonts w:eastAsia="黑体"/>
          <w:b/>
          <w:sz w:val="24"/>
        </w:rPr>
        <w:t>（非选择题，共55分）</w:t>
      </w:r>
    </w:p>
    <w:p>
      <w:pPr>
        <w:spacing w:line="220" w:lineRule="atLeast"/>
        <w:rPr>
          <w:rFonts w:hint="eastAsia"/>
          <w:b/>
          <w:sz w:val="24"/>
        </w:rPr>
      </w:pPr>
      <w:r>
        <w:rPr>
          <w:rFonts w:hint="eastAsia" w:ascii="黑体" w:hAnsi="黑体" w:eastAsia="黑体"/>
          <w:b/>
          <w:sz w:val="24"/>
        </w:rPr>
        <w:t>二</w:t>
      </w:r>
      <w:r>
        <w:rPr>
          <w:rFonts w:ascii="黑体" w:hAnsi="黑体" w:eastAsia="黑体"/>
          <w:b/>
          <w:sz w:val="24"/>
        </w:rPr>
        <w:t>、</w:t>
      </w:r>
      <w:r>
        <w:rPr>
          <w:rFonts w:hint="eastAsia" w:ascii="黑体" w:hAnsi="黑体" w:eastAsia="黑体"/>
          <w:b/>
          <w:sz w:val="24"/>
        </w:rPr>
        <w:t>（</w:t>
      </w:r>
      <w:r>
        <w:rPr>
          <w:rFonts w:hint="eastAsia"/>
          <w:b/>
          <w:sz w:val="24"/>
        </w:rPr>
        <w:t>共</w:t>
      </w:r>
      <w:r>
        <w:rPr>
          <w:b/>
          <w:sz w:val="24"/>
        </w:rPr>
        <w:t>4</w:t>
      </w:r>
      <w:r>
        <w:rPr>
          <w:rFonts w:hint="eastAsia"/>
          <w:b/>
          <w:sz w:val="24"/>
        </w:rPr>
        <w:t>小题，</w:t>
      </w:r>
      <w:r>
        <w:rPr>
          <w:b/>
          <w:sz w:val="24"/>
        </w:rPr>
        <w:t>5</w:t>
      </w:r>
      <w:r>
        <w:rPr>
          <w:rFonts w:hint="eastAsia"/>
          <w:b/>
          <w:sz w:val="24"/>
        </w:rPr>
        <w:t>5分。其中第1</w:t>
      </w:r>
      <w:r>
        <w:rPr>
          <w:b/>
          <w:sz w:val="24"/>
        </w:rPr>
        <w:t>6</w:t>
      </w:r>
      <w:r>
        <w:rPr>
          <w:rFonts w:hint="eastAsia"/>
          <w:b/>
          <w:sz w:val="24"/>
        </w:rPr>
        <w:t>题1</w:t>
      </w:r>
      <w:r>
        <w:rPr>
          <w:b/>
          <w:sz w:val="24"/>
        </w:rPr>
        <w:t>2</w:t>
      </w:r>
      <w:r>
        <w:rPr>
          <w:rFonts w:hint="eastAsia"/>
          <w:b/>
          <w:sz w:val="24"/>
        </w:rPr>
        <w:t>分；1</w:t>
      </w:r>
      <w:r>
        <w:rPr>
          <w:b/>
          <w:sz w:val="24"/>
        </w:rPr>
        <w:t>7</w:t>
      </w:r>
      <w:r>
        <w:rPr>
          <w:rFonts w:hint="eastAsia"/>
          <w:b/>
          <w:sz w:val="24"/>
        </w:rPr>
        <w:t>题1</w:t>
      </w:r>
      <w:r>
        <w:rPr>
          <w:b/>
          <w:sz w:val="24"/>
        </w:rPr>
        <w:t>3</w:t>
      </w:r>
      <w:r>
        <w:rPr>
          <w:rFonts w:hint="eastAsia"/>
          <w:b/>
          <w:sz w:val="24"/>
        </w:rPr>
        <w:t>分；1</w:t>
      </w:r>
      <w:r>
        <w:rPr>
          <w:b/>
          <w:sz w:val="24"/>
        </w:rPr>
        <w:t>8</w:t>
      </w:r>
      <w:r>
        <w:rPr>
          <w:rFonts w:hint="eastAsia"/>
          <w:b/>
          <w:sz w:val="24"/>
        </w:rPr>
        <w:t>题1</w:t>
      </w:r>
      <w:r>
        <w:rPr>
          <w:b/>
          <w:sz w:val="24"/>
        </w:rPr>
        <w:t>8</w:t>
      </w:r>
      <w:r>
        <w:rPr>
          <w:rFonts w:hint="eastAsia"/>
          <w:b/>
          <w:sz w:val="24"/>
        </w:rPr>
        <w:t>分；1</w:t>
      </w:r>
      <w:r>
        <w:rPr>
          <w:b/>
          <w:sz w:val="24"/>
        </w:rPr>
        <w:t>9</w:t>
      </w:r>
      <w:r>
        <w:rPr>
          <w:rFonts w:hint="eastAsia"/>
          <w:b/>
          <w:sz w:val="24"/>
        </w:rPr>
        <w:t>—2</w:t>
      </w:r>
      <w:r>
        <w:rPr>
          <w:b/>
          <w:sz w:val="24"/>
        </w:rPr>
        <w:t>1</w:t>
      </w:r>
      <w:r>
        <w:rPr>
          <w:rFonts w:hint="eastAsia"/>
          <w:b/>
          <w:sz w:val="24"/>
        </w:rPr>
        <w:t>题任选一题作答，1</w:t>
      </w:r>
      <w:r>
        <w:rPr>
          <w:b/>
          <w:sz w:val="24"/>
        </w:rPr>
        <w:t>2</w:t>
      </w:r>
      <w:r>
        <w:rPr>
          <w:rFonts w:hint="eastAsia"/>
          <w:b/>
          <w:sz w:val="24"/>
        </w:rPr>
        <w:t>分）</w:t>
      </w:r>
    </w:p>
    <w:p>
      <w:pPr>
        <w:spacing w:line="400" w:lineRule="exact"/>
        <w:rPr>
          <w:rFonts w:hint="eastAsia" w:ascii="宋体" w:hAnsi="宋体"/>
          <w:bCs/>
          <w:szCs w:val="21"/>
        </w:rPr>
      </w:pPr>
      <w:r>
        <w:rPr>
          <w:rFonts w:ascii="宋体" w:hAnsi="宋体"/>
          <w:bCs/>
          <w:szCs w:val="21"/>
        </w:rPr>
        <w:t>16.</w:t>
      </w:r>
      <w:r>
        <w:rPr>
          <w:rFonts w:hint="eastAsia" w:ascii="宋体" w:hAnsi="宋体"/>
          <w:bCs/>
          <w:szCs w:val="21"/>
        </w:rPr>
        <w:t>（12分）阅读材料，完成下列要求。</w:t>
      </w:r>
    </w:p>
    <w:p>
      <w:pPr>
        <w:spacing w:line="400" w:lineRule="exact"/>
        <w:ind w:firstLine="420" w:firstLineChars="200"/>
        <w:rPr>
          <w:rFonts w:ascii="楷体" w:hAnsi="楷体" w:eastAsia="楷体"/>
          <w:bCs/>
          <w:szCs w:val="21"/>
        </w:rPr>
      </w:pPr>
      <w:r>
        <w:rPr>
          <w:rFonts w:hint="eastAsia" w:ascii="楷体" w:hAnsi="楷体" w:eastAsia="楷体"/>
          <w:bCs/>
          <w:szCs w:val="21"/>
        </w:rPr>
        <w:t>凡选有文、武，文选吏部主之，武选兵部主之，皆为三铨，尚书、侍郎分主之。……凡择人之法有四。一曰身，体貌丰伟；二曰言，言辞辩正；三曰书，楷法遒美；四曰判，文理优长。四事皆可取，则先德行，德均以才，才均以劳。得者为留，不得者为放。五品以上不试，上其名中书门下。六品以下始集而试，观其书、判；已试而铨，察其身、言；已铨而注，询其便利而拟。已注而唱，不厌者得反通其辞。三唱而不厌，听冬集。厌者为甲，上于（尚书）仆射，乃上门下省。给事中读之，黄门侍郎省之，侍中审之，然后以闻。主者受旨而奉行焉，谓之“奏受”。视品及流外，则判补。皆给以符，谓之告身。</w:t>
      </w:r>
    </w:p>
    <w:p>
      <w:pPr>
        <w:spacing w:line="400" w:lineRule="exact"/>
        <w:jc w:val="right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——《新唐书·选举志》</w:t>
      </w:r>
    </w:p>
    <w:p>
      <w:pPr>
        <w:spacing w:line="40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（1）根据材料，概括唐代官员铨选制度的特点。（6分）</w:t>
      </w:r>
    </w:p>
    <w:p>
      <w:pPr>
        <w:spacing w:line="400" w:lineRule="exact"/>
        <w:ind w:firstLine="420" w:firstLineChars="200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（2）根据材料并结合所学知识，对唐代官员铨选制度简要评价。（6分）</w:t>
      </w:r>
    </w:p>
    <w:p>
      <w:pPr>
        <w:spacing w:line="400" w:lineRule="exact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1</w:t>
      </w:r>
      <w:r>
        <w:rPr>
          <w:rFonts w:ascii="宋体" w:hAnsi="宋体"/>
          <w:bCs/>
          <w:szCs w:val="21"/>
        </w:rPr>
        <w:t>7.</w:t>
      </w:r>
      <w:r>
        <w:rPr>
          <w:rFonts w:hint="eastAsia" w:ascii="宋体" w:hAnsi="宋体"/>
          <w:bCs/>
          <w:szCs w:val="21"/>
        </w:rPr>
        <w:t>（13分）阅读材料，完成下列要求。</w:t>
      </w:r>
    </w:p>
    <w:p>
      <w:pPr>
        <w:spacing w:line="400" w:lineRule="exact"/>
        <w:ind w:firstLine="420" w:firstLineChars="200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材料  下图为新航路开辟后全球范围内白银流动示意图。</w:t>
      </w:r>
    </w:p>
    <w:p>
      <w:pPr>
        <w:spacing w:line="220" w:lineRule="atLeast"/>
        <w:jc w:val="center"/>
      </w:pPr>
      <w:r>
        <w:pict>
          <v:shape id="_x0000_i1029" o:spt="75" type="#_x0000_t75" style="height:185.1pt;width:307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spacing w:line="400" w:lineRule="exact"/>
        <w:ind w:firstLine="420" w:firstLineChars="200"/>
        <w:rPr>
          <w:bCs/>
          <w:color w:val="000000"/>
          <w:szCs w:val="21"/>
        </w:rPr>
      </w:pPr>
      <w:r>
        <w:rPr>
          <w:rFonts w:hint="eastAsia"/>
          <w:bCs/>
          <w:color w:val="000000"/>
          <w:szCs w:val="21"/>
        </w:rPr>
        <w:t>围绕“新航路开辟后的白银流动”，从上图中任选一条或者多条白银流动方向，结合所学知识，举出一条与白银流动密切相关的重要史实，并加以阐释。</w:t>
      </w:r>
    </w:p>
    <w:p>
      <w:pPr>
        <w:spacing w:line="400" w:lineRule="exact"/>
        <w:rPr>
          <w:bCs/>
          <w:color w:val="000000"/>
          <w:szCs w:val="21"/>
        </w:rPr>
      </w:pPr>
      <w:r>
        <w:rPr>
          <w:rFonts w:hint="eastAsia"/>
          <w:bCs/>
          <w:color w:val="000000"/>
          <w:szCs w:val="21"/>
        </w:rPr>
        <w:t>（要求：①写出所选白银流动方向和与其对应的史实；②阐释须包含所举史实的历史依据以及对该史实的评价；③紧扣主题，持论有据，论证充分，逻辑清晰）</w:t>
      </w:r>
    </w:p>
    <w:p>
      <w:pPr>
        <w:widowControl/>
        <w:spacing w:line="400" w:lineRule="exact"/>
        <w:jc w:val="left"/>
        <w:rPr>
          <w:rFonts w:hint="eastAsia" w:ascii="宋体" w:hAnsi="宋体" w:cs="楷体"/>
        </w:rPr>
      </w:pPr>
      <w:r>
        <w:rPr>
          <w:rFonts w:hint="eastAsia" w:ascii="宋体" w:hAnsi="宋体"/>
        </w:rPr>
        <w:t>18.</w:t>
      </w:r>
      <w:r>
        <w:rPr>
          <w:rFonts w:hint="eastAsia" w:ascii="宋体" w:hAnsi="宋体" w:cs="楷体"/>
        </w:rPr>
        <w:t>（18分）家具代表了一种文化形态，是物质文化和精神文化的总和，不同民族、不同地域、不同历史时期、不同文化传统和不同价值观念影响了家具设计的多样性。阅读材料，完成下列要求。</w:t>
      </w:r>
    </w:p>
    <w:p>
      <w:pPr>
        <w:widowControl/>
        <w:spacing w:line="400" w:lineRule="exact"/>
        <w:ind w:firstLine="420" w:firstLineChars="200"/>
        <w:jc w:val="left"/>
        <w:rPr>
          <w:rFonts w:hint="eastAsia" w:ascii="楷体" w:hAnsi="楷体" w:eastAsia="楷体" w:cs="楷体"/>
        </w:rPr>
      </w:pPr>
      <w:r>
        <w:rPr>
          <w:rFonts w:hint="eastAsia" w:ascii="楷体" w:hAnsi="楷体" w:eastAsia="楷体" w:cs="楷体"/>
        </w:rPr>
        <w:t>材料一 明式家具的狭义概念指明至清前期材美工良、造型优美的家具，尤其从明代嘉靖、万历到清代康熙、雍正这二百年间，不论从数量还是从艺术价值来看，称之为传统家具的黄金时期是当之无愧的。明代后期，由于商品经济的发展，货币交易日益盛行，银两的价值也愈高。加上过去实行的“轮班”和“住坐”制，工匠以逃亡来反抗，迫使封建主不得不放弃限制人身自由的榨取方式，逐步准许工匠以银代役。……周起元《东西洋考》序说：“我穆庙（指隆庆帝朱载垕）时除贩夷之律”……明清硬木家具，有很大一部分是用进口木材造成的。……万历时戈汕著的《蝶几谱》，详述可用特制的十三具三角形几，错综变化，摆出一百多个样式来……好事文人已经把家具的使用发展成为一种家具游戏了。</w:t>
      </w:r>
    </w:p>
    <w:p>
      <w:pPr>
        <w:widowControl/>
        <w:spacing w:line="400" w:lineRule="exact"/>
        <w:ind w:firstLine="4725" w:firstLineChars="2250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——摘编自王世襄《明式家具研究》</w:t>
      </w:r>
    </w:p>
    <w:p>
      <w:pPr>
        <w:widowControl/>
        <w:spacing w:line="400" w:lineRule="exact"/>
        <w:ind w:firstLine="420" w:firstLineChars="200"/>
        <w:jc w:val="left"/>
        <w:rPr>
          <w:rFonts w:hint="eastAsia" w:ascii="楷体" w:hAnsi="楷体" w:eastAsia="楷体" w:cs="楷体"/>
        </w:rPr>
      </w:pPr>
      <w:r>
        <w:rPr>
          <w:rFonts w:hint="eastAsia" w:ascii="楷体" w:hAnsi="楷体" w:eastAsia="楷体"/>
        </w:rPr>
        <w:t xml:space="preserve">材料二 </w:t>
      </w:r>
      <w:r>
        <w:rPr>
          <w:rFonts w:hint="eastAsia" w:ascii="楷体" w:hAnsi="楷体" w:eastAsia="楷体" w:cs="楷体"/>
        </w:rPr>
        <w:t>民国家具是就风格而言的一类家具，特指开始于清代晚期，兴盛于二十世纪三四十年代，一直流行到五十年代初，以清代家具为工艺基础，在造型和装饰上吸收西洋（少量东洋）风格的一类家具。</w:t>
      </w:r>
    </w:p>
    <w:p>
      <w:pPr>
        <w:widowControl/>
        <w:spacing w:line="400" w:lineRule="exact"/>
        <w:ind w:firstLine="3885" w:firstLineChars="1850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——孙光瑞，张学彬《民国家具风格特征研究》</w:t>
      </w:r>
    </w:p>
    <w:p>
      <w:pPr>
        <w:widowControl/>
        <w:jc w:val="center"/>
        <w:rPr>
          <w:rFonts w:hint="eastAsia" w:ascii="Calibri" w:hAnsi="Calibri"/>
        </w:rPr>
      </w:pPr>
      <w:r>
        <w:rPr>
          <w:rFonts w:hint="eastAsia" w:ascii="Calibri" w:hAnsi="Calibri"/>
        </w:rPr>
        <w:pict>
          <v:shape id="_x0000_i1030" o:spt="75" alt="18题图" type="#_x0000_t75" style="height:171.55pt;width:385.75pt;" filled="f" o:preferrelative="t" stroked="f" coordsize="21600,21600">
            <v:path/>
            <v:fill on="f" focussize="0,0"/>
            <v:stroke on="f" joinstyle="miter"/>
            <v:imagedata r:id="rId13" o:title="18题图"/>
            <o:lock v:ext="edit" aspectratio="t"/>
            <w10:wrap type="none"/>
            <w10:anchorlock/>
          </v:shape>
        </w:pict>
      </w:r>
    </w:p>
    <w:p>
      <w:pPr>
        <w:widowControl/>
        <w:spacing w:line="400" w:lineRule="exact"/>
        <w:jc w:val="left"/>
        <w:rPr>
          <w:rFonts w:hint="eastAsia" w:ascii="楷体" w:hAnsi="楷体" w:eastAsia="楷体" w:cs="楷体"/>
        </w:rPr>
      </w:pPr>
      <w:r>
        <w:rPr>
          <w:rFonts w:hint="eastAsia" w:ascii="楷体" w:hAnsi="楷体" w:eastAsia="楷体" w:cs="楷体"/>
        </w:rPr>
        <w:t xml:space="preserve">图1 民国书柜 </w:t>
      </w:r>
      <w:r>
        <w:rPr>
          <w:rFonts w:ascii="楷体" w:hAnsi="楷体" w:eastAsia="楷体" w:cs="楷体"/>
        </w:rPr>
        <w:t xml:space="preserve">   </w:t>
      </w:r>
      <w:r>
        <w:rPr>
          <w:rFonts w:hint="eastAsia" w:ascii="楷体" w:hAnsi="楷体" w:eastAsia="楷体" w:cs="楷体"/>
        </w:rPr>
        <w:t xml:space="preserve">图2 民国建筑（天津梁启超故居） </w:t>
      </w:r>
      <w:r>
        <w:rPr>
          <w:rFonts w:ascii="楷体" w:hAnsi="楷体" w:eastAsia="楷体" w:cs="楷体"/>
        </w:rPr>
        <w:t xml:space="preserve">   </w:t>
      </w:r>
      <w:r>
        <w:rPr>
          <w:rFonts w:hint="eastAsia" w:ascii="楷体" w:hAnsi="楷体" w:eastAsia="楷体" w:cs="楷体"/>
        </w:rPr>
        <w:t>图3 红木广座椅</w:t>
      </w:r>
    </w:p>
    <w:p>
      <w:pPr>
        <w:widowControl/>
        <w:spacing w:line="400" w:lineRule="exact"/>
        <w:jc w:val="left"/>
        <w:rPr>
          <w:rFonts w:hint="eastAsia" w:ascii="楷体" w:hAnsi="楷体" w:eastAsia="楷体" w:cs="楷体"/>
        </w:rPr>
      </w:pPr>
      <w:r>
        <w:rPr>
          <w:rFonts w:hint="eastAsia" w:ascii="楷体" w:hAnsi="楷体" w:eastAsia="楷体" w:cs="楷体"/>
        </w:rPr>
        <w:t xml:space="preserve">图4 红木酒柜（海派） </w:t>
      </w:r>
      <w:r>
        <w:rPr>
          <w:rFonts w:ascii="楷体" w:hAnsi="楷体" w:eastAsia="楷体" w:cs="楷体"/>
        </w:rPr>
        <w:t xml:space="preserve">   </w:t>
      </w:r>
      <w:r>
        <w:rPr>
          <w:rFonts w:hint="eastAsia" w:ascii="楷体" w:hAnsi="楷体" w:eastAsia="楷体" w:cs="楷体"/>
        </w:rPr>
        <w:t xml:space="preserve">图5 花梨樟顶箱柜 </w:t>
      </w:r>
      <w:r>
        <w:rPr>
          <w:rFonts w:ascii="楷体" w:hAnsi="楷体" w:eastAsia="楷体" w:cs="楷体"/>
        </w:rPr>
        <w:t xml:space="preserve">   </w:t>
      </w:r>
      <w:r>
        <w:rPr>
          <w:rFonts w:hint="eastAsia" w:ascii="楷体" w:hAnsi="楷体" w:eastAsia="楷体" w:cs="楷体"/>
        </w:rPr>
        <w:t xml:space="preserve">图6 陈列柜 </w:t>
      </w:r>
      <w:r>
        <w:rPr>
          <w:rFonts w:ascii="楷体" w:hAnsi="楷体" w:eastAsia="楷体" w:cs="楷体"/>
        </w:rPr>
        <w:t xml:space="preserve">   </w:t>
      </w:r>
      <w:r>
        <w:rPr>
          <w:rFonts w:hint="eastAsia" w:ascii="楷体" w:hAnsi="楷体" w:eastAsia="楷体" w:cs="楷体"/>
        </w:rPr>
        <w:t>图7 棋牌桌</w:t>
      </w:r>
    </w:p>
    <w:p>
      <w:pPr>
        <w:widowControl/>
        <w:spacing w:line="400" w:lineRule="exact"/>
        <w:jc w:val="left"/>
        <w:rPr>
          <w:rFonts w:hint="eastAsia" w:ascii="楷体" w:hAnsi="楷体" w:eastAsia="楷体" w:cs="楷体"/>
        </w:rPr>
      </w:pPr>
      <w:r>
        <w:rPr>
          <w:rFonts w:hint="eastAsia" w:ascii="楷体" w:hAnsi="楷体" w:eastAsia="楷体" w:cs="楷体"/>
        </w:rPr>
        <w:t xml:space="preserve">图8 沙发 </w:t>
      </w:r>
      <w:r>
        <w:rPr>
          <w:rFonts w:ascii="楷体" w:hAnsi="楷体" w:eastAsia="楷体" w:cs="楷体"/>
        </w:rPr>
        <w:t xml:space="preserve">   </w:t>
      </w:r>
      <w:r>
        <w:rPr>
          <w:rFonts w:hint="eastAsia" w:ascii="楷体" w:hAnsi="楷体" w:eastAsia="楷体" w:cs="楷体"/>
        </w:rPr>
        <w:t xml:space="preserve">图9 民国卧室家具 </w:t>
      </w:r>
      <w:r>
        <w:rPr>
          <w:rFonts w:ascii="楷体" w:hAnsi="楷体" w:eastAsia="楷体" w:cs="楷体"/>
        </w:rPr>
        <w:t xml:space="preserve">   </w:t>
      </w:r>
      <w:r>
        <w:rPr>
          <w:rFonts w:hint="eastAsia" w:ascii="楷体" w:hAnsi="楷体" w:eastAsia="楷体" w:cs="楷体"/>
        </w:rPr>
        <w:t>图10 穿衣镜</w:t>
      </w:r>
    </w:p>
    <w:p>
      <w:pPr>
        <w:widowControl/>
        <w:spacing w:line="400" w:lineRule="exact"/>
        <w:ind w:firstLine="420" w:firstLineChars="200"/>
        <w:jc w:val="left"/>
        <w:rPr>
          <w:rFonts w:ascii="宋体" w:hAnsi="宋体"/>
        </w:rPr>
      </w:pPr>
      <w:r>
        <w:rPr>
          <w:rFonts w:hint="eastAsia" w:ascii="宋体" w:hAnsi="宋体"/>
        </w:rPr>
        <w:t>（1）根据材料一，分析明式家具成为传统家具高峰的时代背景。（8分）</w:t>
      </w:r>
    </w:p>
    <w:p>
      <w:pPr>
        <w:widowControl/>
        <w:spacing w:line="400" w:lineRule="exact"/>
        <w:jc w:val="left"/>
        <w:rPr>
          <w:rFonts w:hint="eastAsia" w:ascii="宋体" w:hAnsi="宋体"/>
        </w:rPr>
      </w:pPr>
    </w:p>
    <w:p>
      <w:pPr>
        <w:widowControl/>
        <w:spacing w:line="400" w:lineRule="exact"/>
        <w:ind w:firstLine="420" w:firstLineChars="200"/>
        <w:jc w:val="left"/>
        <w:rPr>
          <w:rFonts w:ascii="宋体" w:hAnsi="宋体"/>
        </w:rPr>
      </w:pPr>
      <w:r>
        <w:rPr>
          <w:rFonts w:hint="eastAsia" w:ascii="宋体" w:hAnsi="宋体"/>
        </w:rPr>
        <w:t>（2）根据材料二并结合所学，概括民国时期中式家具的变化，并分析其原因。（10分）</w:t>
      </w:r>
    </w:p>
    <w:p>
      <w:pPr>
        <w:spacing w:line="400" w:lineRule="exact"/>
        <w:rPr>
          <w:rFonts w:hint="eastAsia" w:ascii="宋体" w:hAnsi="宋体"/>
        </w:rPr>
      </w:pPr>
      <w:r>
        <w:rPr>
          <w:rFonts w:hint="eastAsia" w:ascii="宋体" w:hAnsi="宋体"/>
        </w:rPr>
        <w:t>19．【选修1：历史上重大改革回眸】阅读材料，完成下列要求。（12分）</w:t>
      </w:r>
    </w:p>
    <w:p>
      <w:pPr>
        <w:spacing w:line="400" w:lineRule="exact"/>
        <w:ind w:firstLine="420" w:firstLineChars="200"/>
        <w:rPr>
          <w:rFonts w:ascii="楷体" w:hAnsi="楷体" w:eastAsia="楷体" w:cs="楷体"/>
        </w:rPr>
      </w:pPr>
      <w:r>
        <w:rPr>
          <w:rFonts w:hint="eastAsia" w:ascii="楷体" w:hAnsi="楷体" w:eastAsia="楷体"/>
        </w:rPr>
        <w:t>材料</w:t>
      </w:r>
      <w:r>
        <w:rPr>
          <w:rFonts w:hint="eastAsia" w:ascii="楷体" w:hAnsi="楷体" w:eastAsia="楷体" w:cs="楷体"/>
        </w:rPr>
        <w:t xml:space="preserve"> 宋仁宗继位之初“赋役未均，田制不立，因诏限田”，但“终以限田不便，未几即废”。欧阳修试图在河北、河东、陕西等“民有遗力，地有遗力”之地实行“营田”：“官贷其种，岁田之入与中分之，如民之法募吏之习田者为田官，优其课最而诱之”，并实行官方代为买牛和“免其役”的优惠政策。后又招募流散农民和组织闲置劳动力——乡兵，开发京西荒地，改变“尽禁沿边之地，不许人耕”的消极的边防政策……</w:t>
      </w:r>
    </w:p>
    <w:p>
      <w:pPr>
        <w:spacing w:line="400" w:lineRule="exact"/>
        <w:ind w:firstLine="420" w:firstLineChars="200"/>
        <w:rPr>
          <w:rFonts w:ascii="楷体" w:hAnsi="楷体" w:eastAsia="楷体" w:cs="楷体"/>
        </w:rPr>
      </w:pPr>
      <w:r>
        <w:rPr>
          <w:rFonts w:hint="eastAsia" w:ascii="楷体" w:hAnsi="楷体" w:eastAsia="楷体" w:cs="楷体"/>
        </w:rPr>
        <w:t>朝廷采纳欧阳修建议，实行“千步方田法，括定民田，首括一县得田二万六干九百三干余顷，均其赋于民”……针对农业人口流失问题，欧阳修提出“乡兵本农也，籍而为兵，遂弃其业。今幸去农未久，尚可复驱还之田亩，使不得群游而饮博，以为父兄之患。倘若能使乡兵皆耕，而久废之田利又数倍，则岁谷不可胜数。”</w:t>
      </w:r>
    </w:p>
    <w:p>
      <w:pPr>
        <w:spacing w:line="400" w:lineRule="exact"/>
        <w:ind w:firstLine="420" w:firstLineChars="200"/>
        <w:rPr>
          <w:rFonts w:hint="eastAsia" w:ascii="楷体" w:hAnsi="楷体" w:eastAsia="楷体" w:cs="楷体"/>
        </w:rPr>
      </w:pPr>
      <w:r>
        <w:rPr>
          <w:rFonts w:hint="eastAsia" w:ascii="楷体" w:hAnsi="楷体" w:eastAsia="楷体" w:cs="楷体"/>
        </w:rPr>
        <w:t>此外，欧阳修还提出“休其本以胜之”的辟佛主张，主张在农民“不耕休力之时，而教之以礼”……针对“民户贱卖其田，或逃而去</w:t>
      </w:r>
      <w:r>
        <w:rPr>
          <w:rFonts w:ascii="楷体" w:hAnsi="楷体" w:eastAsia="楷体" w:cs="楷体"/>
        </w:rPr>
        <w:t>”</w:t>
      </w:r>
      <w:r>
        <w:rPr>
          <w:rFonts w:hint="eastAsia" w:ascii="楷体" w:hAnsi="楷体" w:eastAsia="楷体" w:cs="楷体"/>
        </w:rPr>
        <w:t>，欧阳修反对“量国用而取之民，未尝量民力而制国用”，主张遵循传统的“量入以为出”的古训，上爱其下，下给其上，使不相困。随着政治形势的发展，欧阳修被排斥出朝廷，改革被废止。</w:t>
      </w:r>
    </w:p>
    <w:p>
      <w:pPr>
        <w:spacing w:line="400" w:lineRule="exact"/>
        <w:jc w:val="right"/>
        <w:rPr>
          <w:rFonts w:hint="eastAsia" w:ascii="宋体" w:hAnsi="宋体"/>
        </w:rPr>
      </w:pPr>
      <w:r>
        <w:rPr>
          <w:rFonts w:hint="eastAsia" w:ascii="宋体" w:hAnsi="宋体"/>
        </w:rPr>
        <w:t>——摘编自铁爱花《试论欧阳修的农业改革思想与实践》</w:t>
      </w:r>
    </w:p>
    <w:p>
      <w:pPr>
        <w:spacing w:line="400" w:lineRule="exact"/>
        <w:ind w:firstLine="42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（1）根据材料并结合所学知识，分析欧阳修农业改革的特点。（6分）</w:t>
      </w:r>
    </w:p>
    <w:p>
      <w:pPr>
        <w:spacing w:line="400" w:lineRule="exact"/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（2）根据材料并结合所学知识，评价欧阳修的农业改革。（6分）</w:t>
      </w:r>
    </w:p>
    <w:p>
      <w:pPr>
        <w:spacing w:line="400" w:lineRule="exact"/>
        <w:rPr>
          <w:rFonts w:ascii="宋体" w:hAnsi="宋体"/>
        </w:rPr>
      </w:pPr>
      <w:r>
        <w:rPr>
          <w:rFonts w:hint="eastAsia" w:ascii="宋体" w:hAnsi="宋体"/>
        </w:rPr>
        <w:t>20.【战争与和平】阅读材料，完成下列要求。（12分）</w:t>
      </w:r>
    </w:p>
    <w:p>
      <w:pPr>
        <w:spacing w:line="400" w:lineRule="exact"/>
        <w:ind w:firstLine="420" w:firstLineChars="200"/>
        <w:rPr>
          <w:rFonts w:ascii="楷体" w:hAnsi="楷体" w:eastAsia="楷体"/>
        </w:rPr>
      </w:pPr>
      <w:r>
        <w:rPr>
          <w:rFonts w:hint="eastAsia" w:ascii="楷体" w:hAnsi="楷体" w:eastAsia="楷体"/>
        </w:rPr>
        <w:t>材料 1948年，鉴于在亚洲，中国国民党在大陆统治崩溃已成定局，美国重新研究日本在其远东战略中的地位。日本成为亚洲唯一可能执行美国遏制中国和苏联冷战政策，并具有重要战略地位和影响的国家。为此，美国极力修改盟国在《波茨坦公告》中为改造日本所明确规定的非军事化和民主化的主要目标。1949年美国政府还任命银行家约瑟夫·道奇为盟军总司令部财政顾问。</w:t>
      </w:r>
    </w:p>
    <w:p>
      <w:pPr>
        <w:spacing w:line="400" w:lineRule="exact"/>
        <w:ind w:firstLine="420" w:firstLineChars="200"/>
        <w:rPr>
          <w:rFonts w:ascii="楷体" w:hAnsi="楷体" w:eastAsia="楷体"/>
        </w:rPr>
      </w:pPr>
      <w:r>
        <w:rPr>
          <w:rFonts w:hint="eastAsia" w:ascii="楷体" w:hAnsi="楷体" w:eastAsia="楷体"/>
        </w:rPr>
        <w:t>新中国的建立和朝鲜战争的爆发，大大加剧了美苏两大阵营的对立和冲突。1951年9月，美国在旧金山召开对日媾和会议，签订了《对日和约》。和约剥夺了日本的海外领地，但事实上取消赔偿，还规定盟国可以与日本缔结协定，驻军日本。这完全是美国战略利益的体现。《和约》和随后签订的《日美安全保障条约》规定美军可无限制地驻留日本，并设置军事基地；还允许美军可以镇压日本国内的"大规模暴动"，并且让日本分担驻日美军的军费。日本获得名义上的独立。</w:t>
      </w:r>
    </w:p>
    <w:p>
      <w:pPr>
        <w:spacing w:line="400" w:lineRule="exact"/>
        <w:ind w:firstLine="420" w:firstLineChars="200"/>
        <w:rPr>
          <w:rFonts w:hint="eastAsia" w:ascii="楷体" w:hAnsi="楷体" w:eastAsia="楷体"/>
        </w:rPr>
      </w:pPr>
      <w:r>
        <w:rPr>
          <w:rFonts w:hint="eastAsia" w:ascii="宋体" w:hAnsi="宋体"/>
        </w:rPr>
        <w:t>——摘编自吴于廑、齐世荣主编《世界史·现代卷》</w:t>
      </w:r>
    </w:p>
    <w:p>
      <w:pPr>
        <w:ind w:firstLine="315" w:firstLineChars="150"/>
        <w:rPr>
          <w:rFonts w:ascii="宋体" w:hAnsi="宋体"/>
        </w:rPr>
      </w:pPr>
      <w:r>
        <w:rPr>
          <w:rFonts w:hint="eastAsia"/>
        </w:rPr>
        <w:pict>
          <v:shape id="_x0000_s1034" o:spid="_x0000_s1034" o:spt="202" type="#_x0000_t202" style="position:absolute;left:0pt;margin-left:390.85pt;margin-top:-40.35pt;height:727.95pt;width:85.05pt;mso-wrap-distance-bottom:3.6pt;mso-wrap-distance-left:9pt;mso-wrap-distance-right:9pt;mso-wrap-distance-top:3.6pt;z-index:251663360;mso-width-relative:margin;mso-height-relative:margin;" filled="t" stroked="t" coordsize="21600,21600">
            <v:path/>
            <v:fill on="t" focussize="0,0"/>
            <v:stroke joinstyle="miter"/>
            <v:imagedata o:title=""/>
            <o:lock v:ext="edit" aspectratio="f"/>
            <v:textbox style="layout-flow:vertical;mso-layout-flow-alt:bottom-to-top;">
              <w:txbxContent>
                <w:p/>
              </w:txbxContent>
            </v:textbox>
            <w10:wrap type="square"/>
          </v:shape>
        </w:pict>
      </w:r>
      <w:r>
        <w:rPr>
          <w:rFonts w:hint="eastAsia" w:ascii="宋体" w:hAnsi="宋体"/>
        </w:rPr>
        <w:t>（1）根据材料并结合所学知识，指出美国改变对日政策的原因。（6分）</w:t>
      </w:r>
    </w:p>
    <w:p>
      <w:pPr>
        <w:spacing w:line="400" w:lineRule="exact"/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（2）根据材料并结合所学知识，分析美国改变对日政策的影响。（6分）</w:t>
      </w:r>
    </w:p>
    <w:p>
      <w:pPr>
        <w:spacing w:line="400" w:lineRule="exact"/>
        <w:rPr>
          <w:rFonts w:ascii="宋体" w:hAnsi="宋体"/>
        </w:rPr>
      </w:pPr>
    </w:p>
    <w:p>
      <w:pPr>
        <w:spacing w:line="400" w:lineRule="exact"/>
        <w:rPr>
          <w:rFonts w:hint="eastAsia" w:ascii="宋体" w:hAnsi="宋体"/>
        </w:rPr>
      </w:pPr>
      <w:r>
        <w:rPr>
          <w:rFonts w:hint="eastAsia" w:ascii="宋体" w:hAnsi="宋体"/>
        </w:rPr>
        <w:t>21.【中外历史人物评说】阅读材料，完成下列要求。（12分）</w:t>
      </w:r>
    </w:p>
    <w:p>
      <w:pPr>
        <w:spacing w:line="400" w:lineRule="exact"/>
        <w:ind w:firstLine="420" w:firstLineChars="200"/>
        <w:rPr>
          <w:rFonts w:hint="eastAsia" w:ascii="楷体" w:hAnsi="楷体" w:eastAsia="楷体"/>
        </w:rPr>
      </w:pPr>
      <w:r>
        <w:rPr>
          <w:rFonts w:hint="eastAsia" w:ascii="楷体" w:hAnsi="楷体" w:eastAsia="楷体"/>
        </w:rPr>
        <w:t>材料  史念海（1912-2001）山西平陆人，字筱苏，中国历史地理学专业奠基人。史念海就读于北平辅仁大学历史系时，深感强邻侵逼，国难深重，遂发愤为民族振兴、国家富强而刻苦学习，学业进步甚速。大学期间连续写出《两唐书地理志互勘》、《西汉侯国考》等论文，并加入禹贡学会，走上了历史地理学治学道路。建国后，史念海先后在西北大学、西安师范学院(后改名为陕西师范大学)任教，期间开设了《中国历史地理》课程，1986年成立历史地理研究所，培养了一大批历史地理学专业人才。在长期任教期间，史念海突破常规，注重人与自然的关系问题，使历史地理学从历史沿革地理演变成为融历史学、地理学、人文社会等于一体的交叉学科，终成我国历史地理学开拓者。教学研究方面，史念海秉承“有用于世”的治学理念，注重文献整理和野外实地考察相结合，相继写出《中国的运河》《河山集》等，为国家经济建设与文化建设提供了理论支撑。</w:t>
      </w:r>
    </w:p>
    <w:p>
      <w:pPr>
        <w:spacing w:line="400" w:lineRule="exact"/>
        <w:rPr>
          <w:rFonts w:hint="eastAsia" w:ascii="宋体" w:hAnsi="宋体"/>
        </w:rPr>
      </w:pPr>
      <w:r>
        <w:rPr>
          <w:rFonts w:hint="eastAsia" w:ascii="宋体" w:hAnsi="宋体"/>
        </w:rPr>
        <w:t xml:space="preserve">                              ——摘编自王双怀《史念海与中国历史地理学》</w:t>
      </w:r>
    </w:p>
    <w:p>
      <w:pPr>
        <w:spacing w:line="400" w:lineRule="exact"/>
        <w:rPr>
          <w:rFonts w:ascii="宋体" w:hAnsi="宋体"/>
        </w:rPr>
      </w:pPr>
      <w:r>
        <w:rPr>
          <w:rFonts w:hint="eastAsia" w:ascii="宋体" w:hAnsi="宋体"/>
        </w:rPr>
        <w:t>（1）依据材料并结合所学知识，概括出史念海取得的重大成就。（6分）</w:t>
      </w:r>
    </w:p>
    <w:p>
      <w:pPr>
        <w:spacing w:line="400" w:lineRule="exact"/>
        <w:rPr>
          <w:rFonts w:hint="eastAsia" w:ascii="宋体" w:hAnsi="宋体"/>
        </w:rPr>
      </w:pPr>
    </w:p>
    <w:p>
      <w:pPr>
        <w:spacing w:line="400" w:lineRule="exact"/>
        <w:rPr>
          <w:rFonts w:hint="eastAsia" w:ascii="宋体" w:hAnsi="宋体"/>
        </w:rPr>
      </w:pPr>
      <w:r>
        <w:rPr>
          <w:rFonts w:hint="eastAsia" w:ascii="宋体" w:hAnsi="宋体"/>
        </w:rPr>
        <w:t>（2）依据材料并结合所学知识，概括出史念海身上体现的时代精神。（6分）</w:t>
      </w:r>
    </w:p>
    <w:p>
      <w:pPr>
        <w:spacing w:line="400" w:lineRule="exact"/>
        <w:rPr>
          <w:rFonts w:hint="eastAsia" w:ascii="宋体" w:hAnsi="宋体"/>
          <w:color w:val="000000"/>
          <w:szCs w:val="21"/>
        </w:rPr>
      </w:pPr>
    </w:p>
    <w:p>
      <w:pPr>
        <w:spacing w:line="220" w:lineRule="atLeast"/>
        <w:rPr>
          <w:rFonts w:hint="eastAsia" w:ascii="宋体" w:hAnsi="宋体"/>
          <w:b/>
          <w:szCs w:val="21"/>
        </w:rPr>
      </w:pPr>
    </w:p>
    <w:p>
      <w:pPr>
        <w:tabs>
          <w:tab w:val="left" w:pos="5007"/>
        </w:tabs>
        <w:spacing w:line="220" w:lineRule="atLeast"/>
        <w:rPr>
          <w:rFonts w:ascii="宋体" w:hAnsi="宋体"/>
          <w:b/>
          <w:szCs w:val="21"/>
        </w:rPr>
        <w:sectPr>
          <w:headerReference r:id="rId3" w:type="default"/>
          <w:footerReference r:id="rId4" w:type="default"/>
          <w:footerReference r:id="rId5" w:type="even"/>
          <w:pgSz w:w="10318" w:h="14570"/>
          <w:pgMar w:top="1021" w:right="1021" w:bottom="1021" w:left="1021" w:header="851" w:footer="851" w:gutter="0"/>
          <w:cols w:space="425" w:num="1"/>
          <w:docGrid w:type="lines" w:linePitch="312" w:charSpace="0"/>
        </w:sectPr>
      </w:pPr>
      <w:r>
        <w:rPr>
          <w:rFonts w:ascii="宋体" w:hAnsi="宋体"/>
          <w:b/>
          <w:szCs w:val="21"/>
        </w:rPr>
        <w:tab/>
      </w:r>
    </w:p>
    <w:p>
      <w:bookmarkStart w:id="3" w:name="_GoBack"/>
      <w:bookmarkEnd w:id="3"/>
    </w:p>
    <w:sectPr>
      <w:pgSz w:w="10318" w:h="1457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center"/>
      <w:rPr>
        <w:rFonts w:hint="eastAsia"/>
        <w:sz w:val="21"/>
        <w:szCs w:val="21"/>
      </w:rPr>
    </w:pPr>
    <w:r>
      <w:rPr>
        <w:rStyle w:val="6"/>
        <w:rFonts w:hint="eastAsia"/>
        <w:sz w:val="21"/>
        <w:szCs w:val="21"/>
      </w:rPr>
      <w:t xml:space="preserve">历史试卷，第 </w:t>
    </w:r>
    <w:r>
      <w:rPr>
        <w:rStyle w:val="6"/>
        <w:sz w:val="21"/>
        <w:szCs w:val="21"/>
      </w:rPr>
      <w:fldChar w:fldCharType="begin"/>
    </w:r>
    <w:r>
      <w:rPr>
        <w:rStyle w:val="6"/>
        <w:sz w:val="21"/>
        <w:szCs w:val="21"/>
      </w:rPr>
      <w:instrText xml:space="preserve">PAGE   \* MERGEFORMAT</w:instrText>
    </w:r>
    <w:r>
      <w:rPr>
        <w:rStyle w:val="6"/>
        <w:sz w:val="21"/>
        <w:szCs w:val="21"/>
      </w:rPr>
      <w:fldChar w:fldCharType="separate"/>
    </w:r>
    <w:r>
      <w:rPr>
        <w:rStyle w:val="6"/>
        <w:sz w:val="21"/>
        <w:szCs w:val="21"/>
        <w:lang w:val="zh-CN"/>
      </w:rPr>
      <w:t>4</w:t>
    </w:r>
    <w:r>
      <w:rPr>
        <w:rStyle w:val="6"/>
        <w:sz w:val="21"/>
        <w:szCs w:val="21"/>
      </w:rPr>
      <w:fldChar w:fldCharType="end"/>
    </w:r>
    <w:r>
      <w:rPr>
        <w:rStyle w:val="6"/>
        <w:sz w:val="21"/>
        <w:szCs w:val="21"/>
      </w:rPr>
      <w:t xml:space="preserve"> </w:t>
    </w:r>
    <w:r>
      <w:rPr>
        <w:rStyle w:val="6"/>
        <w:rFonts w:hint="eastAsia"/>
        <w:sz w:val="21"/>
        <w:szCs w:val="21"/>
      </w:rPr>
      <w:t>页，共</w:t>
    </w:r>
    <w:r>
      <w:rPr>
        <w:rStyle w:val="6"/>
        <w:sz w:val="21"/>
        <w:szCs w:val="21"/>
      </w:rPr>
      <w:t>8</w:t>
    </w:r>
    <w:r>
      <w:rPr>
        <w:rStyle w:val="6"/>
        <w:rFonts w:hint="eastAsia"/>
        <w:sz w:val="21"/>
        <w:szCs w:val="21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rPr>
        <w:rStyle w:val="6"/>
      </w:rPr>
    </w:pP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fldChar w:fldCharType="end"/>
    </w:r>
  </w:p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mRmNjg2MDAyN2RmNDg1MjM3NmYxOTA0NDE3MjE1MTkifQ=="/>
  </w:docVars>
  <w:rsids>
    <w:rsidRoot w:val="00645BDD"/>
    <w:rsid w:val="00014B75"/>
    <w:rsid w:val="0009423D"/>
    <w:rsid w:val="000B1996"/>
    <w:rsid w:val="000C13C4"/>
    <w:rsid w:val="000F38E8"/>
    <w:rsid w:val="0016478B"/>
    <w:rsid w:val="00170E52"/>
    <w:rsid w:val="001744F4"/>
    <w:rsid w:val="00182C50"/>
    <w:rsid w:val="001B4A53"/>
    <w:rsid w:val="001C0A26"/>
    <w:rsid w:val="001C20DF"/>
    <w:rsid w:val="00225B58"/>
    <w:rsid w:val="00244146"/>
    <w:rsid w:val="00244EBA"/>
    <w:rsid w:val="002509EF"/>
    <w:rsid w:val="002800E0"/>
    <w:rsid w:val="002A28A0"/>
    <w:rsid w:val="002A3FBB"/>
    <w:rsid w:val="002A7286"/>
    <w:rsid w:val="002C5AAC"/>
    <w:rsid w:val="00307906"/>
    <w:rsid w:val="00340B96"/>
    <w:rsid w:val="0035048C"/>
    <w:rsid w:val="00353650"/>
    <w:rsid w:val="00385C26"/>
    <w:rsid w:val="00390C16"/>
    <w:rsid w:val="003A7AB9"/>
    <w:rsid w:val="003C0446"/>
    <w:rsid w:val="003C0562"/>
    <w:rsid w:val="004151FC"/>
    <w:rsid w:val="0042602B"/>
    <w:rsid w:val="004E697A"/>
    <w:rsid w:val="00575C1C"/>
    <w:rsid w:val="00580968"/>
    <w:rsid w:val="00586124"/>
    <w:rsid w:val="00595423"/>
    <w:rsid w:val="005B110A"/>
    <w:rsid w:val="005C0E1D"/>
    <w:rsid w:val="005D26CB"/>
    <w:rsid w:val="005E1ACD"/>
    <w:rsid w:val="00645BDD"/>
    <w:rsid w:val="00670A14"/>
    <w:rsid w:val="00691A18"/>
    <w:rsid w:val="006A753D"/>
    <w:rsid w:val="006E5C08"/>
    <w:rsid w:val="00703313"/>
    <w:rsid w:val="00704A54"/>
    <w:rsid w:val="00723972"/>
    <w:rsid w:val="007A4756"/>
    <w:rsid w:val="007B6623"/>
    <w:rsid w:val="007E2852"/>
    <w:rsid w:val="007F091F"/>
    <w:rsid w:val="007F667A"/>
    <w:rsid w:val="00820A2E"/>
    <w:rsid w:val="008665DB"/>
    <w:rsid w:val="008A5856"/>
    <w:rsid w:val="008D6907"/>
    <w:rsid w:val="008D769F"/>
    <w:rsid w:val="00901798"/>
    <w:rsid w:val="0091099A"/>
    <w:rsid w:val="009149C5"/>
    <w:rsid w:val="00960CDF"/>
    <w:rsid w:val="00984BAE"/>
    <w:rsid w:val="00991701"/>
    <w:rsid w:val="009A23C1"/>
    <w:rsid w:val="009F584F"/>
    <w:rsid w:val="00A01FC8"/>
    <w:rsid w:val="00A04582"/>
    <w:rsid w:val="00A064DA"/>
    <w:rsid w:val="00A45C79"/>
    <w:rsid w:val="00A85FEB"/>
    <w:rsid w:val="00A9325A"/>
    <w:rsid w:val="00AC1204"/>
    <w:rsid w:val="00AD6A9B"/>
    <w:rsid w:val="00AF09FF"/>
    <w:rsid w:val="00B202E8"/>
    <w:rsid w:val="00B264A9"/>
    <w:rsid w:val="00BA47BE"/>
    <w:rsid w:val="00BB296C"/>
    <w:rsid w:val="00BE7DB9"/>
    <w:rsid w:val="00C02FC6"/>
    <w:rsid w:val="00C16858"/>
    <w:rsid w:val="00C87A47"/>
    <w:rsid w:val="00CA7211"/>
    <w:rsid w:val="00CB1709"/>
    <w:rsid w:val="00CC6A03"/>
    <w:rsid w:val="00D34424"/>
    <w:rsid w:val="00D4260E"/>
    <w:rsid w:val="00D43BB2"/>
    <w:rsid w:val="00D45BE3"/>
    <w:rsid w:val="00D679EB"/>
    <w:rsid w:val="00DE58B5"/>
    <w:rsid w:val="00DE6F88"/>
    <w:rsid w:val="00E04D7E"/>
    <w:rsid w:val="00E469C8"/>
    <w:rsid w:val="00E47964"/>
    <w:rsid w:val="00E9637D"/>
    <w:rsid w:val="00F01DAE"/>
    <w:rsid w:val="00F2171B"/>
    <w:rsid w:val="00F40326"/>
    <w:rsid w:val="00F75DC2"/>
    <w:rsid w:val="00FB3A03"/>
    <w:rsid w:val="00FE739F"/>
    <w:rsid w:val="65E81966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  <w:style w:type="character" w:customStyle="1" w:styleId="7">
    <w:name w:val="页脚 字符"/>
    <w:link w:val="2"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  <customShpInfo spid="_x0000_s1028"/>
    <customShpInfo spid="_x0000_s1031"/>
    <customShpInfo spid="_x0000_s1034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BA2DBD3-EAFC-41E4-9E3B-06C4972EF4F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WwW.YlmF.CoM</Company>
  <Pages>9</Pages>
  <Words>5473</Words>
  <Characters>5667</Characters>
  <Lines>43</Lines>
  <Paragraphs>12</Paragraphs>
  <TotalTime>325</TotalTime>
  <ScaleCrop>false</ScaleCrop>
  <LinksUpToDate>false</LinksUpToDate>
  <CharactersWithSpaces>5997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2008-03-28T06:46:00Z</dcterms:created>
  <dc:creator>雨林木风</dc:creator>
  <cp:lastModifiedBy>盛夏光年</cp:lastModifiedBy>
  <cp:lastPrinted>2010-04-08T02:36:00Z</cp:lastPrinted>
  <dcterms:modified xsi:type="dcterms:W3CDTF">2022-05-16T09:42:24Z</dcterms:modified>
  <cp:revision>48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2052-11.1.0.11636</vt:lpwstr>
  </property>
  <property fmtid="{D5CDD505-2E9C-101B-9397-08002B2CF9AE}" pid="7" name="ICV">
    <vt:lpwstr>75A28C6BC0B740B09B5A02ABE4ED37DD</vt:lpwstr>
  </property>
</Properties>
</file>