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楷体_GB2312" w:eastAsia="楷体_GB2312"/>
          <w:b/>
          <w:bCs/>
          <w:w w:val="90"/>
          <w:sz w:val="44"/>
          <w:szCs w:val="21"/>
        </w:rPr>
      </w:pPr>
      <w:r>
        <w:rPr>
          <w:rFonts w:hint="eastAsia" w:ascii="楷体_GB2312" w:eastAsia="楷体_GB2312"/>
          <w:b/>
          <w:bCs/>
          <w:w w:val="90"/>
          <w:sz w:val="44"/>
          <w:szCs w:val="44"/>
        </w:rPr>
        <w:t>河南省实验中学</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21</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22</w:t>
      </w:r>
      <w:r>
        <w:rPr>
          <w:rFonts w:hint="eastAsia" w:ascii="楷体_GB2312" w:eastAsia="楷体_GB2312"/>
          <w:b/>
          <w:bCs/>
          <w:w w:val="90"/>
          <w:sz w:val="44"/>
          <w:szCs w:val="44"/>
        </w:rPr>
        <w:t>学年</w:t>
      </w:r>
      <w:r>
        <w:rPr>
          <w:rFonts w:hint="eastAsia" w:ascii="楷体_GB2312" w:eastAsia="楷体_GB2312"/>
          <w:b/>
          <w:bCs/>
          <w:w w:val="90"/>
          <w:sz w:val="44"/>
          <w:szCs w:val="44"/>
          <w:lang w:val="en-US" w:eastAsia="zh-CN"/>
        </w:rPr>
        <w:t>下</w:t>
      </w:r>
      <w:r>
        <w:rPr>
          <w:rFonts w:hint="eastAsia" w:ascii="楷体_GB2312" w:eastAsia="楷体_GB2312"/>
          <w:b/>
          <w:bCs/>
          <w:w w:val="90"/>
          <w:sz w:val="44"/>
          <w:szCs w:val="44"/>
        </w:rPr>
        <w:t>期期中试卷</w:t>
      </w:r>
    </w:p>
    <w:p>
      <w:pPr>
        <w:widowControl/>
        <w:jc w:val="center"/>
        <w:rPr>
          <w:rFonts w:hint="eastAsia" w:ascii="楷体" w:hAnsi="楷体" w:eastAsia="楷体" w:cs="楷体"/>
          <w:b/>
          <w:bCs/>
          <w:sz w:val="32"/>
          <w:szCs w:val="32"/>
        </w:rPr>
      </w:pPr>
      <w:r>
        <w:rPr>
          <w:rFonts w:hint="eastAsia" w:ascii="楷体" w:hAnsi="楷体" w:eastAsia="楷体" w:cs="楷体"/>
          <w:b/>
          <w:bCs/>
          <w:sz w:val="32"/>
          <w:szCs w:val="32"/>
        </w:rPr>
        <w:t>高二</w:t>
      </w: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物理</w:t>
      </w: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命题人</w:t>
      </w:r>
      <w:r>
        <w:rPr>
          <w:rFonts w:hint="eastAsia" w:ascii="楷体" w:hAnsi="楷体" w:eastAsia="楷体" w:cs="楷体"/>
          <w:b/>
          <w:bCs/>
          <w:sz w:val="32"/>
          <w:szCs w:val="32"/>
          <w:lang w:eastAsia="zh-CN"/>
        </w:rPr>
        <w:t>：</w:t>
      </w:r>
      <w:r>
        <w:rPr>
          <w:rFonts w:hint="eastAsia" w:ascii="楷体" w:hAnsi="楷体" w:eastAsia="楷体" w:cs="楷体"/>
          <w:b/>
          <w:bCs/>
          <w:sz w:val="32"/>
          <w:szCs w:val="32"/>
        </w:rPr>
        <w:t>吴琨</w:t>
      </w:r>
      <w:r>
        <w:rPr>
          <w:rFonts w:hint="eastAsia" w:ascii="楷体" w:hAnsi="楷体" w:eastAsia="楷体" w:cs="楷体"/>
          <w:b/>
          <w:bCs/>
          <w:sz w:val="32"/>
          <w:szCs w:val="32"/>
          <w:lang w:val="en-US" w:eastAsia="zh-CN"/>
        </w:rPr>
        <w:t xml:space="preserve">  </w:t>
      </w:r>
      <w:r>
        <w:rPr>
          <w:rFonts w:hint="eastAsia" w:ascii="楷体" w:hAnsi="楷体" w:eastAsia="楷体" w:cs="楷体"/>
          <w:b/>
          <w:bCs/>
          <w:sz w:val="32"/>
          <w:szCs w:val="32"/>
        </w:rPr>
        <w:t>审题人</w:t>
      </w:r>
      <w:r>
        <w:rPr>
          <w:rFonts w:hint="eastAsia" w:ascii="楷体" w:hAnsi="楷体" w:eastAsia="楷体" w:cs="楷体"/>
          <w:b/>
          <w:bCs/>
          <w:sz w:val="32"/>
          <w:szCs w:val="32"/>
          <w:lang w:eastAsia="zh-CN"/>
        </w:rPr>
        <w:t>：</w:t>
      </w:r>
      <w:r>
        <w:rPr>
          <w:rFonts w:hint="eastAsia" w:ascii="楷体" w:hAnsi="楷体" w:eastAsia="楷体" w:cs="楷体"/>
          <w:b/>
          <w:bCs/>
          <w:sz w:val="32"/>
          <w:szCs w:val="32"/>
        </w:rPr>
        <w:t>梁加涛</w:t>
      </w:r>
    </w:p>
    <w:p>
      <w:pPr>
        <w:widowControl/>
        <w:jc w:val="center"/>
        <w:rPr>
          <w:rFonts w:hint="eastAsia" w:ascii="楷体" w:hAnsi="楷体" w:eastAsia="楷体" w:cs="楷体"/>
          <w:b/>
          <w:bCs/>
          <w:sz w:val="24"/>
          <w:szCs w:val="21"/>
        </w:rPr>
      </w:pPr>
      <w:r>
        <w:rPr>
          <w:rFonts w:hint="eastAsia" w:ascii="楷体" w:hAnsi="楷体" w:eastAsia="楷体" w:cs="楷体"/>
          <w:b/>
          <w:bCs/>
          <w:sz w:val="24"/>
          <w:szCs w:val="21"/>
        </w:rPr>
        <w:t>（时间：90分钟，满分：100分）</w:t>
      </w:r>
    </w:p>
    <w:p>
      <w:pPr>
        <w:widowControl/>
        <w:rPr>
          <w:b/>
          <w:szCs w:val="21"/>
        </w:rPr>
      </w:pPr>
      <w:r>
        <w:rPr>
          <w:rFonts w:hint="eastAsia" w:ascii="宋体" w:hAnsi="宋体"/>
          <w:szCs w:val="21"/>
        </w:rPr>
        <w:t>一、</w:t>
      </w:r>
      <w:r>
        <w:rPr>
          <w:rFonts w:hint="eastAsia" w:ascii="宋体" w:hAnsi="宋体"/>
          <w:b/>
          <w:szCs w:val="21"/>
        </w:rPr>
        <w:t>选择题</w:t>
      </w:r>
      <w:r>
        <w:rPr>
          <w:b/>
          <w:szCs w:val="21"/>
        </w:rPr>
        <w:t>(本题共12小题，1</w:t>
      </w:r>
      <w:r>
        <w:rPr>
          <w:rFonts w:hint="eastAsia"/>
          <w:b/>
          <w:szCs w:val="21"/>
        </w:rPr>
        <w:t>~</w:t>
      </w:r>
      <w:r>
        <w:rPr>
          <w:b/>
          <w:szCs w:val="21"/>
        </w:rPr>
        <w:t>8是单选题，9</w:t>
      </w:r>
      <w:r>
        <w:rPr>
          <w:rFonts w:hint="eastAsia"/>
          <w:b/>
          <w:szCs w:val="21"/>
        </w:rPr>
        <w:t>~</w:t>
      </w:r>
      <w:r>
        <w:rPr>
          <w:b/>
          <w:szCs w:val="21"/>
        </w:rPr>
        <w:t>12是多选题。每小题4分，共48分</w:t>
      </w:r>
      <w:r>
        <w:rPr>
          <w:rFonts w:hint="eastAsia"/>
          <w:b/>
          <w:szCs w:val="21"/>
        </w:rPr>
        <w:t>。多选题</w:t>
      </w:r>
      <w:r>
        <w:rPr>
          <w:b/>
          <w:szCs w:val="21"/>
        </w:rPr>
        <w:t>全部选对的得4分，选对但不全的得2分，有选错或不答的得0分)</w:t>
      </w:r>
    </w:p>
    <w:p>
      <w:pPr>
        <w:jc w:val="left"/>
        <w:textAlignment w:val="center"/>
      </w:pPr>
      <w:r>
        <w:t>1．下列各图中，关于光学知识应用的描述正确的是（　　）</w:t>
      </w:r>
    </w:p>
    <w:p>
      <w:pPr>
        <w:jc w:val="left"/>
        <w:textAlignment w:val="center"/>
      </w:pPr>
      <w:r>
        <w:t>A．</w:t>
      </w:r>
      <w:r>
        <w:drawing>
          <wp:inline distT="0" distB="0" distL="0" distR="0">
            <wp:extent cx="964565" cy="521335"/>
            <wp:effectExtent l="0" t="0" r="698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974803" cy="527074"/>
                    </a:xfrm>
                    <a:prstGeom prst="rect">
                      <a:avLst/>
                    </a:prstGeom>
                  </pic:spPr>
                </pic:pic>
              </a:graphicData>
            </a:graphic>
          </wp:inline>
        </w:drawing>
      </w:r>
      <w:r>
        <w:rPr>
          <w:rFonts w:hint="eastAsia"/>
        </w:rPr>
        <w:t xml:space="preserve"> </w:t>
      </w:r>
      <w:r>
        <w:t xml:space="preserve">                    B．</w:t>
      </w:r>
      <w:r>
        <w:drawing>
          <wp:inline distT="0" distB="0" distL="0" distR="0">
            <wp:extent cx="854075" cy="734695"/>
            <wp:effectExtent l="0" t="0" r="31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862767" cy="742100"/>
                    </a:xfrm>
                    <a:prstGeom prst="rect">
                      <a:avLst/>
                    </a:prstGeom>
                  </pic:spPr>
                </pic:pic>
              </a:graphicData>
            </a:graphic>
          </wp:inline>
        </w:drawing>
      </w:r>
    </w:p>
    <w:p>
      <w:pPr>
        <w:jc w:val="left"/>
        <w:textAlignment w:val="center"/>
      </w:pPr>
      <w:r>
        <w:t>医用内窥镜运用了光的折射原理</w:t>
      </w:r>
      <w:r>
        <w:rPr>
          <w:rFonts w:hint="eastAsia"/>
        </w:rPr>
        <w:t xml:space="preserve"> </w:t>
      </w:r>
      <w:r>
        <w:t xml:space="preserve">             全息照相运用了光的偏振原理</w:t>
      </w:r>
    </w:p>
    <w:p>
      <w:pPr>
        <w:jc w:val="left"/>
        <w:textAlignment w:val="center"/>
      </w:pPr>
      <w:r>
        <w:t>C．</w:t>
      </w:r>
      <w:r>
        <w:drawing>
          <wp:inline distT="0" distB="0" distL="0" distR="0">
            <wp:extent cx="639445" cy="582930"/>
            <wp:effectExtent l="0" t="0" r="8255" b="762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651076" cy="593782"/>
                    </a:xfrm>
                    <a:prstGeom prst="rect">
                      <a:avLst/>
                    </a:prstGeom>
                  </pic:spPr>
                </pic:pic>
              </a:graphicData>
            </a:graphic>
          </wp:inline>
        </w:drawing>
      </w:r>
      <w:r>
        <w:rPr>
          <w:rFonts w:hint="eastAsia"/>
        </w:rPr>
        <w:t xml:space="preserve"> </w:t>
      </w:r>
      <w:r>
        <w:t xml:space="preserve">                         D．</w:t>
      </w:r>
      <w:r>
        <w:drawing>
          <wp:inline distT="0" distB="0" distL="0" distR="0">
            <wp:extent cx="582930" cy="56007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90876" cy="567613"/>
                    </a:xfrm>
                    <a:prstGeom prst="rect">
                      <a:avLst/>
                    </a:prstGeom>
                  </pic:spPr>
                </pic:pic>
              </a:graphicData>
            </a:graphic>
          </wp:inline>
        </w:drawing>
      </w:r>
    </w:p>
    <w:p>
      <w:pPr>
        <w:jc w:val="left"/>
        <w:textAlignment w:val="center"/>
      </w:pPr>
      <w:r>
        <w:t>立体电影运用了光的衍射原理</w:t>
      </w:r>
      <w:r>
        <w:rPr>
          <w:rFonts w:hint="eastAsia"/>
        </w:rPr>
        <w:t xml:space="preserve"> </w:t>
      </w:r>
      <w:r>
        <w:t xml:space="preserve">           照相机镜头表面增透膜运用了光的干涉原理</w:t>
      </w:r>
    </w:p>
    <w:p>
      <w:pPr>
        <w:jc w:val="left"/>
        <w:textAlignment w:val="center"/>
      </w:pPr>
    </w:p>
    <w:p>
      <w:pPr>
        <w:jc w:val="left"/>
        <w:textAlignment w:val="center"/>
      </w:pPr>
      <w:r>
        <w:drawing>
          <wp:anchor distT="0" distB="0" distL="114300" distR="114300" simplePos="0" relativeHeight="251659264" behindDoc="0" locked="0" layoutInCell="1" allowOverlap="1">
            <wp:simplePos x="0" y="0"/>
            <wp:positionH relativeFrom="column">
              <wp:posOffset>3506470</wp:posOffset>
            </wp:positionH>
            <wp:positionV relativeFrom="paragraph">
              <wp:posOffset>481965</wp:posOffset>
            </wp:positionV>
            <wp:extent cx="1438275" cy="824230"/>
            <wp:effectExtent l="0" t="0" r="9525" b="0"/>
            <wp:wrapSquare wrapText="bothSides"/>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38275" cy="824230"/>
                    </a:xfrm>
                    <a:prstGeom prst="rect">
                      <a:avLst/>
                    </a:prstGeom>
                  </pic:spPr>
                </pic:pic>
              </a:graphicData>
            </a:graphic>
          </wp:anchor>
        </w:drawing>
      </w:r>
      <w:r>
        <w:t>2．如图所示，两个弹簧振子悬挂在同一支架上，已知甲弹簧振子的固有频率为</w:t>
      </w:r>
      <w:r>
        <w:object>
          <v:shape id="_x0000_i1025" o:spt="75" alt="eqIdd4d1254683a911d3cc1f6f623a73ce4f" type="#_x0000_t75" style="height:12pt;width:26.25pt;" o:ole="t" filled="f" o:preferrelative="t" stroked="f" coordsize="21600,21600">
            <v:path/>
            <v:fill on="f" focussize="0,0"/>
            <v:stroke on="f" joinstyle="miter"/>
            <v:imagedata r:id="rId14" o:title="eqIdd4d1254683a911d3cc1f6f623a73ce4f"/>
            <o:lock v:ext="edit" aspectratio="t"/>
            <w10:wrap type="none"/>
            <w10:anchorlock/>
          </v:shape>
          <o:OLEObject Type="Embed" ProgID="Equation.DSMT4" ShapeID="_x0000_i1025" DrawAspect="Content" ObjectID="_1468075725" r:id="rId13">
            <o:LockedField>false</o:LockedField>
          </o:OLEObject>
        </w:object>
      </w:r>
      <w:r>
        <w:t>，乙弹簧振子的固有频率为</w:t>
      </w:r>
      <w:r>
        <w:object>
          <v:shape id="_x0000_i1026" o:spt="75" alt="eqIda8eaebe41f88b5be8133263d0e6294e3" type="#_x0000_t75" style="height:12pt;width:25.5pt;" o:ole="t" filled="f" o:preferrelative="t" stroked="f" coordsize="21600,21600">
            <v:path/>
            <v:fill on="f" focussize="0,0"/>
            <v:stroke on="f" joinstyle="miter"/>
            <v:imagedata r:id="rId16" o:title="eqIda8eaebe41f88b5be8133263d0e6294e3"/>
            <o:lock v:ext="edit" aspectratio="t"/>
            <w10:wrap type="none"/>
            <w10:anchorlock/>
          </v:shape>
          <o:OLEObject Type="Embed" ProgID="Equation.DSMT4" ShapeID="_x0000_i1026" DrawAspect="Content" ObjectID="_1468075726" r:id="rId15">
            <o:LockedField>false</o:LockedField>
          </o:OLEObject>
        </w:object>
      </w:r>
      <w:r>
        <w:t>，当支架在受到竖直方向、频率为</w:t>
      </w:r>
      <m:oMath>
        <m:r>
          <m:rPr>
            <m:nor/>
            <m:sty m:val="p"/>
          </m:rPr>
          <w:rPr>
            <w:rFonts w:ascii="Cambria Math"/>
          </w:rPr>
          <m:t>20Hz</m:t>
        </m:r>
      </m:oMath>
      <w:r>
        <w:t>的驱动力作用做受迫振动时，两个弹簧振子的振动情况是（　　）</w:t>
      </w:r>
    </w:p>
    <w:p>
      <w:pPr>
        <w:jc w:val="left"/>
        <w:textAlignment w:val="center"/>
      </w:pPr>
      <w:r>
        <w:t>A．甲的振幅较大，且振动频率为</w:t>
      </w:r>
      <w:r>
        <w:object>
          <v:shape id="_x0000_i1027" o:spt="75" alt="eqIdf62ce97dc5ac5e6994f631983a17a030" type="#_x0000_t75" style="height:12pt;width:26.25pt;" o:ole="t" filled="f" o:preferrelative="t" stroked="f" coordsize="21600,21600">
            <v:path/>
            <v:fill on="f" focussize="0,0"/>
            <v:stroke on="f" joinstyle="miter"/>
            <v:imagedata r:id="rId18" o:title="eqIdf62ce97dc5ac5e6994f631983a17a030"/>
            <o:lock v:ext="edit" aspectratio="t"/>
            <w10:wrap type="none"/>
            <w10:anchorlock/>
          </v:shape>
          <o:OLEObject Type="Embed" ProgID="Equation.DSMT4" ShapeID="_x0000_i1027" DrawAspect="Content" ObjectID="_1468075727" r:id="rId17">
            <o:LockedField>false</o:LockedField>
          </o:OLEObject>
        </w:object>
      </w:r>
    </w:p>
    <w:p>
      <w:pPr>
        <w:jc w:val="left"/>
        <w:textAlignment w:val="center"/>
      </w:pPr>
      <w:r>
        <w:t>B．甲的振幅较大，且振动频率为</w:t>
      </w:r>
      <m:oMath>
        <m:r>
          <m:rPr>
            <m:nor/>
            <m:sty m:val="p"/>
          </m:rPr>
          <w:rPr>
            <w:rFonts w:ascii="Cambria Math"/>
          </w:rPr>
          <m:t>20Hz</m:t>
        </m:r>
      </m:oMath>
    </w:p>
    <w:p>
      <w:pPr>
        <w:jc w:val="left"/>
        <w:textAlignment w:val="center"/>
      </w:pPr>
      <w:r>
        <w:t>C．乙的振幅较大，且振动频率为</w:t>
      </w:r>
      <w:r>
        <w:object>
          <v:shape id="_x0000_i1028" o:spt="75" alt="eqId7e641dbef780a3a7a5cacee1c042e8ca" type="#_x0000_t75" style="height:12pt;width:25.5pt;" o:ole="t" filled="f" o:preferrelative="t" stroked="f" coordsize="21600,21600">
            <v:path/>
            <v:fill on="f" focussize="0,0"/>
            <v:stroke on="f" joinstyle="miter"/>
            <v:imagedata r:id="rId20" o:title="eqId7e641dbef780a3a7a5cacee1c042e8ca"/>
            <o:lock v:ext="edit" aspectratio="t"/>
            <w10:wrap type="none"/>
            <w10:anchorlock/>
          </v:shape>
          <o:OLEObject Type="Embed" ProgID="Equation.DSMT4" ShapeID="_x0000_i1028" DrawAspect="Content" ObjectID="_1468075728" r:id="rId19">
            <o:LockedField>false</o:LockedField>
          </o:OLEObject>
        </w:object>
      </w:r>
    </w:p>
    <w:p>
      <w:pPr>
        <w:jc w:val="left"/>
        <w:textAlignment w:val="center"/>
      </w:pPr>
      <w:r>
        <w:t>D．乙的振幅较大，且振动频率为</w:t>
      </w:r>
      <m:oMath>
        <m:r>
          <m:rPr>
            <m:nor/>
            <m:sty m:val="p"/>
          </m:rPr>
          <w:rPr>
            <w:rFonts w:ascii="Cambria Math"/>
          </w:rPr>
          <m:t>20Hz</m:t>
        </m:r>
      </m:oMath>
    </w:p>
    <w:p>
      <w:pPr>
        <w:jc w:val="left"/>
        <w:textAlignment w:val="center"/>
      </w:pPr>
    </w:p>
    <w:p>
      <w:pPr>
        <w:jc w:val="left"/>
        <w:textAlignment w:val="center"/>
      </w:pPr>
      <w:r>
        <w:t>3．利用光的干涉规律可以检测工件表面的平整度与设计要求之间的微小差异。现将精度很高的标准玻璃板（样板），放在被检查工件上面，如图甲所示，在样板的左端垫一薄片，使标准玻璃板与被检查平面之间形成一楔形空气膜。用平行单色光向下照射，检查不同平面时，可观察到图乙或图丙的干涉条纹。下列说法正确的是（　　）</w:t>
      </w:r>
    </w:p>
    <w:p>
      <w:pPr>
        <w:jc w:val="left"/>
        <w:textAlignment w:val="center"/>
      </w:pPr>
      <w:r>
        <w:drawing>
          <wp:inline distT="0" distB="0" distL="0" distR="0">
            <wp:extent cx="2826385" cy="923925"/>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21"/>
                    <a:stretch>
                      <a:fillRect/>
                    </a:stretch>
                  </pic:blipFill>
                  <pic:spPr>
                    <a:xfrm>
                      <a:off x="0" y="0"/>
                      <a:ext cx="2911290" cy="951673"/>
                    </a:xfrm>
                    <a:prstGeom prst="rect">
                      <a:avLst/>
                    </a:prstGeom>
                  </pic:spPr>
                </pic:pic>
              </a:graphicData>
            </a:graphic>
          </wp:inline>
        </w:drawing>
      </w:r>
    </w:p>
    <w:p>
      <w:pPr>
        <w:jc w:val="left"/>
        <w:textAlignment w:val="center"/>
      </w:pPr>
      <w:r>
        <w:t>A．干涉条纹是样板的上、下两个表面的反射光干涉形成的</w:t>
      </w:r>
    </w:p>
    <w:p>
      <w:pPr>
        <w:jc w:val="left"/>
        <w:textAlignment w:val="center"/>
      </w:pPr>
      <w:r>
        <w:t>B．当稍向右移动图甲中的薄片时，条纹间距会变小</w:t>
      </w:r>
    </w:p>
    <w:p>
      <w:pPr>
        <w:jc w:val="left"/>
        <w:textAlignment w:val="center"/>
      </w:pPr>
      <w:r>
        <w:t>C．当换用频率更高的单色光照射时，条纹间距不变</w:t>
      </w:r>
    </w:p>
    <w:p>
      <w:pPr>
        <w:jc w:val="left"/>
        <w:textAlignment w:val="center"/>
      </w:pPr>
      <w:r>
        <w:t>D．图丙条纹弯曲处对应着被检查平面处是凸起的</w:t>
      </w:r>
    </w:p>
    <w:p>
      <w:pPr>
        <w:jc w:val="left"/>
        <w:textAlignment w:val="center"/>
      </w:pPr>
    </w:p>
    <w:p>
      <w:pPr>
        <w:jc w:val="left"/>
        <w:textAlignment w:val="center"/>
      </w:pPr>
      <w:r>
        <w:t>4．在新冠肺炎疫情防控期间，红外线体温计被广泛使用。红外线体温计采用非接触的方式感应人体的体温，安全、方便、快捷。其原理是采用红外传感器吸收人体辐射的红外线，由人体最强辐射的波长与物体的绝对温度的关系</w:t>
      </w:r>
      <m:oMath>
        <m:r>
          <m:rPr/>
          <w:rPr>
            <w:rFonts w:ascii="Cambria Math"/>
          </w:rPr>
          <m:t>T</m:t>
        </m:r>
        <m:sSub>
          <m:sSubPr>
            <m:ctrlPr>
              <w:rPr>
                <w:rFonts w:ascii="Cambria Math" w:hAnsi="Cambria Math"/>
                <w:i/>
              </w:rPr>
            </m:ctrlPr>
          </m:sSubPr>
          <m:e>
            <m:r>
              <m:rPr/>
              <w:rPr>
                <w:rFonts w:ascii="Cambria Math"/>
              </w:rPr>
              <m:t>λ</m:t>
            </m:r>
            <m:ctrlPr>
              <w:rPr>
                <w:rFonts w:ascii="Cambria Math" w:hAnsi="Cambria Math"/>
                <w:i/>
              </w:rPr>
            </m:ctrlPr>
          </m:e>
          <m:sub>
            <m:r>
              <m:rPr/>
              <w:rPr>
                <w:rFonts w:ascii="Cambria Math"/>
              </w:rPr>
              <m:t>m</m:t>
            </m:r>
            <m:ctrlPr>
              <w:rPr>
                <w:rFonts w:ascii="Cambria Math" w:hAnsi="Cambria Math"/>
                <w:i/>
              </w:rPr>
            </m:ctrlPr>
          </m:sub>
        </m:sSub>
        <m:r>
          <m:rPr/>
          <w:rPr>
            <w:rFonts w:ascii="Cambria Math"/>
          </w:rPr>
          <m:t>=2.9×1</m:t>
        </m:r>
        <m:sSup>
          <m:sSupPr>
            <m:ctrlPr>
              <w:rPr>
                <w:rFonts w:ascii="Cambria Math" w:hAnsi="Cambria Math"/>
                <w:i/>
              </w:rPr>
            </m:ctrlPr>
          </m:sSupPr>
          <m:e>
            <m:r>
              <m:rPr/>
              <w:rPr>
                <w:rFonts w:ascii="Cambria Math"/>
              </w:rPr>
              <m:t>0</m:t>
            </m:r>
            <m:ctrlPr>
              <w:rPr>
                <w:rFonts w:ascii="Cambria Math" w:hAnsi="Cambria Math"/>
                <w:i/>
              </w:rPr>
            </m:ctrlPr>
          </m:e>
          <m:sup>
            <m:r>
              <m:rPr/>
              <w:rPr>
                <w:rFonts w:ascii="Cambria Math"/>
              </w:rPr>
              <m:t>−3</m:t>
            </m:r>
            <m:ctrlPr>
              <w:rPr>
                <w:rFonts w:ascii="Cambria Math" w:hAnsi="Cambria Math"/>
                <w:i/>
              </w:rPr>
            </m:ctrlPr>
          </m:sup>
        </m:sSup>
        <m:r>
          <m:rPr/>
          <w:rPr>
            <w:rFonts w:ascii="Cambria Math"/>
          </w:rPr>
          <m:t>m·K</m:t>
        </m:r>
      </m:oMath>
      <w:r>
        <w:t>得出人体表面的温度。已知热力学温度与摄氏温度之间的关系为</w:t>
      </w:r>
      <w:r>
        <w:object>
          <v:shape id="_x0000_i1029" o:spt="75" alt="eqIdd75007a3c1eeeb701310bf5205873270" type="#_x0000_t75" style="height:12.75pt;width:57pt;" o:ole="t" filled="f" o:preferrelative="t" stroked="f" coordsize="21600,21600">
            <v:path/>
            <v:fill on="f" focussize="0,0"/>
            <v:stroke on="f" joinstyle="miter"/>
            <v:imagedata r:id="rId23" o:title="eqIdd75007a3c1eeeb701310bf5205873270"/>
            <o:lock v:ext="edit" aspectratio="t"/>
            <w10:wrap type="none"/>
            <w10:anchorlock/>
          </v:shape>
          <o:OLEObject Type="Embed" ProgID="Equation.DSMT4" ShapeID="_x0000_i1029" DrawAspect="Content" ObjectID="_1468075729" r:id="rId22">
            <o:LockedField>false</o:LockedField>
          </o:OLEObject>
        </w:object>
      </w:r>
      <w:r>
        <w:t>。下列说法正确的是（　　）</w:t>
      </w:r>
    </w:p>
    <w:p>
      <w:pPr>
        <w:jc w:val="left"/>
        <w:textAlignment w:val="center"/>
      </w:pPr>
      <w:r>
        <w:t>A．人体在某一温度下只辐射某一固定波长的红外线</w:t>
      </w:r>
    </w:p>
    <w:p>
      <w:pPr>
        <w:jc w:val="left"/>
        <w:textAlignment w:val="center"/>
      </w:pPr>
      <w:r>
        <w:t>B．体温升高，人体辐射的红外线的波长和强度都增加</w:t>
      </w:r>
    </w:p>
    <w:p>
      <w:pPr>
        <w:jc w:val="left"/>
        <w:textAlignment w:val="center"/>
      </w:pPr>
      <w:r>
        <w:t>C．温度升高，人体辐射强度的最大值对应的频率减小</w:t>
      </w:r>
    </w:p>
    <w:p>
      <w:pPr>
        <w:jc w:val="left"/>
        <w:textAlignment w:val="center"/>
      </w:pPr>
      <w:r>
        <w:t>D．某人最强辐射的波长为</w:t>
      </w:r>
      <m:oMath>
        <m:r>
          <m:rPr/>
          <w:rPr>
            <w:rFonts w:ascii="Cambria Math"/>
          </w:rPr>
          <m:t>9.3μm</m:t>
        </m:r>
      </m:oMath>
      <w:r>
        <w:t>，其体温约为</w:t>
      </w:r>
      <m:oMath>
        <m:r>
          <m:rPr/>
          <w:rPr>
            <w:rFonts w:ascii="Cambria Math"/>
          </w:rPr>
          <m:t>38.8℃</m:t>
        </m:r>
      </m:oMath>
    </w:p>
    <w:p>
      <w:pPr>
        <w:jc w:val="left"/>
        <w:textAlignment w:val="center"/>
      </w:pPr>
    </w:p>
    <w:p>
      <w:pPr>
        <w:jc w:val="left"/>
        <w:textAlignment w:val="center"/>
      </w:pPr>
      <w:r>
        <w:drawing>
          <wp:anchor distT="0" distB="0" distL="114300" distR="114300" simplePos="0" relativeHeight="251660288" behindDoc="0" locked="0" layoutInCell="1" allowOverlap="1">
            <wp:simplePos x="0" y="0"/>
            <wp:positionH relativeFrom="margin">
              <wp:align>right</wp:align>
            </wp:positionH>
            <wp:positionV relativeFrom="paragraph">
              <wp:posOffset>11430</wp:posOffset>
            </wp:positionV>
            <wp:extent cx="1261745" cy="838200"/>
            <wp:effectExtent l="0" t="0" r="0" b="0"/>
            <wp:wrapSquare wrapText="bothSides"/>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61745" cy="838200"/>
                    </a:xfrm>
                    <a:prstGeom prst="rect">
                      <a:avLst/>
                    </a:prstGeom>
                  </pic:spPr>
                </pic:pic>
              </a:graphicData>
            </a:graphic>
          </wp:anchor>
        </w:drawing>
      </w:r>
      <w:r>
        <w:t>5．某时刻LC振荡电路的状态如图所示，下列说法中正确的是（　　）</w:t>
      </w:r>
    </w:p>
    <w:p>
      <w:pPr>
        <w:jc w:val="left"/>
        <w:textAlignment w:val="center"/>
      </w:pPr>
      <w:r>
        <w:t>A．振荡电流</w:t>
      </w:r>
      <w:r>
        <w:rPr>
          <w:rFonts w:eastAsia="Times New Roman"/>
          <w:i/>
        </w:rPr>
        <w:t>i</w:t>
      </w:r>
      <w:r>
        <w:t>在减小</w:t>
      </w:r>
    </w:p>
    <w:p>
      <w:pPr>
        <w:jc w:val="left"/>
        <w:textAlignment w:val="center"/>
      </w:pPr>
      <w:r>
        <w:t>B．电容器两板间电压在减小</w:t>
      </w:r>
    </w:p>
    <w:p>
      <w:pPr>
        <w:jc w:val="left"/>
        <w:textAlignment w:val="center"/>
      </w:pPr>
      <w:r>
        <w:t>C．电场能正在向磁场能转化</w:t>
      </w:r>
    </w:p>
    <w:p>
      <w:pPr>
        <w:jc w:val="left"/>
        <w:textAlignment w:val="center"/>
      </w:pPr>
      <w:r>
        <w:t>D．电容器极板上的电荷量从零变化到最大值所需的最短时间为π</w:t>
      </w:r>
      <m:oMath>
        <m:rad>
          <m:radPr>
            <m:degHide m:val="1"/>
            <m:ctrlPr>
              <w:rPr>
                <w:rFonts w:ascii="Cambria Math" w:hAnsi="Cambria Math"/>
                <w:i/>
              </w:rPr>
            </m:ctrlPr>
          </m:radPr>
          <m:deg>
            <m:ctrlPr>
              <w:rPr>
                <w:rFonts w:ascii="Cambria Math" w:hAnsi="Cambria Math"/>
                <w:i/>
              </w:rPr>
            </m:ctrlPr>
          </m:deg>
          <m:e>
            <m:r>
              <m:rPr/>
              <w:rPr>
                <w:rFonts w:ascii="Cambria Math"/>
              </w:rPr>
              <m:t>LC</m:t>
            </m:r>
            <m:ctrlPr>
              <w:rPr>
                <w:rFonts w:ascii="Cambria Math" w:hAnsi="Cambria Math"/>
                <w:i/>
              </w:rPr>
            </m:ctrlPr>
          </m:e>
        </m:rad>
      </m:oMath>
    </w:p>
    <w:p>
      <w:pPr>
        <w:jc w:val="left"/>
        <w:textAlignment w:val="center"/>
      </w:pPr>
    </w:p>
    <w:p>
      <w:pPr>
        <w:jc w:val="left"/>
        <w:textAlignment w:val="center"/>
      </w:pPr>
      <w:r>
        <w:drawing>
          <wp:anchor distT="0" distB="0" distL="114300" distR="114300" simplePos="0" relativeHeight="251661312" behindDoc="0" locked="0" layoutInCell="1" allowOverlap="1">
            <wp:simplePos x="0" y="0"/>
            <wp:positionH relativeFrom="margin">
              <wp:align>right</wp:align>
            </wp:positionH>
            <wp:positionV relativeFrom="paragraph">
              <wp:posOffset>433070</wp:posOffset>
            </wp:positionV>
            <wp:extent cx="1873250" cy="707390"/>
            <wp:effectExtent l="0" t="0" r="0" b="0"/>
            <wp:wrapSquare wrapText="bothSides"/>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873250" cy="707390"/>
                    </a:xfrm>
                    <a:prstGeom prst="rect">
                      <a:avLst/>
                    </a:prstGeom>
                  </pic:spPr>
                </pic:pic>
              </a:graphicData>
            </a:graphic>
          </wp:anchor>
        </w:drawing>
      </w:r>
      <w:r>
        <w:t>6．用图示实验装置演示光的偏振现象，白炽灯</w:t>
      </w:r>
      <w:r>
        <w:rPr>
          <w:rFonts w:eastAsia="Times New Roman"/>
          <w:i/>
        </w:rPr>
        <w:t>O</w:t>
      </w:r>
      <w:r>
        <w:t>发出的光通过两个透振方向平行的偏振片</w:t>
      </w:r>
      <w:r>
        <w:rPr>
          <w:rFonts w:eastAsia="Times New Roman"/>
          <w:i/>
        </w:rPr>
        <w:t>P</w:t>
      </w:r>
      <w:r>
        <w:t>、</w:t>
      </w:r>
      <w:r>
        <w:rPr>
          <w:rFonts w:eastAsia="Times New Roman"/>
          <w:i/>
        </w:rPr>
        <w:t>Q</w:t>
      </w:r>
      <w:r>
        <w:t>照到光屏上，通过偏振片前后的光束分别用Ⅰ、Ⅱ、Ⅲ表示，下列说法正确的是（　　）</w:t>
      </w:r>
    </w:p>
    <w:p>
      <w:pPr>
        <w:jc w:val="left"/>
        <w:textAlignment w:val="center"/>
      </w:pPr>
      <w:r>
        <w:t>A．白炽灯发出的光是纵波</w:t>
      </w:r>
    </w:p>
    <w:p>
      <w:pPr>
        <w:jc w:val="left"/>
        <w:textAlignment w:val="center"/>
      </w:pPr>
      <w:r>
        <w:t>B．偏振片</w:t>
      </w:r>
      <w:r>
        <w:rPr>
          <w:rFonts w:eastAsia="Times New Roman"/>
          <w:i/>
        </w:rPr>
        <w:t>Q</w:t>
      </w:r>
      <w:r>
        <w:t>起到检偏的作用</w:t>
      </w:r>
    </w:p>
    <w:p>
      <w:pPr>
        <w:jc w:val="left"/>
        <w:textAlignment w:val="center"/>
      </w:pPr>
      <w:r>
        <w:t>C．光束Ⅱ中光振动方向与透振方向垂直</w:t>
      </w:r>
    </w:p>
    <w:p>
      <w:pPr>
        <w:jc w:val="left"/>
        <w:textAlignment w:val="center"/>
      </w:pPr>
      <w:r>
        <w:t>D．将偏振片</w:t>
      </w:r>
      <w:r>
        <w:rPr>
          <w:rFonts w:eastAsia="Times New Roman"/>
          <w:i/>
        </w:rPr>
        <w:t>P</w:t>
      </w:r>
      <w:r>
        <w:t>以光传播方向为轴转过</w:t>
      </w:r>
      <m:oMath>
        <m:r>
          <m:rPr/>
          <w:rPr>
            <w:rFonts w:ascii="Cambria Math"/>
          </w:rPr>
          <m:t>45°</m:t>
        </m:r>
      </m:oMath>
      <w:r>
        <w:t>，光束Ⅲ将消失</w:t>
      </w:r>
    </w:p>
    <w:p>
      <w:pPr>
        <w:jc w:val="left"/>
        <w:textAlignment w:val="center"/>
      </w:pPr>
    </w:p>
    <w:p>
      <w:pPr>
        <w:jc w:val="left"/>
        <w:textAlignment w:val="center"/>
      </w:pPr>
      <w:r>
        <w:t>7．1834年，洛埃利用单面镜得到了杨氏干涉的结果（称洛埃镜实验）。洛埃镜实验的基本装置如图所示，</w:t>
      </w:r>
      <m:oMath>
        <m:r>
          <m:rPr/>
          <w:rPr>
            <w:rFonts w:ascii="Cambria Math" w:hAnsi="Cambria Math"/>
          </w:rPr>
          <m:t>S</m:t>
        </m:r>
      </m:oMath>
      <w:r>
        <w:t>为单色光源，</w:t>
      </w:r>
      <m:oMath>
        <m:r>
          <m:rPr/>
          <w:rPr>
            <w:rFonts w:ascii="Cambria Math" w:hAnsi="Cambria Math"/>
          </w:rPr>
          <m:t>M</m:t>
        </m:r>
      </m:oMath>
      <w:r>
        <w:t>为一平面镜。</w:t>
      </w:r>
      <m:oMath>
        <m:r>
          <m:rPr/>
          <w:rPr>
            <w:rFonts w:ascii="Cambria Math" w:hAnsi="Cambria Math"/>
          </w:rPr>
          <m:t>S</m:t>
        </m:r>
      </m:oMath>
      <w:r>
        <w:t>发出的光直接照在光屏上，同时</w:t>
      </w:r>
      <m:oMath>
        <m:r>
          <m:rPr/>
          <w:rPr>
            <w:rFonts w:ascii="Cambria Math" w:hAnsi="Cambria Math"/>
          </w:rPr>
          <m:t>S</m:t>
        </m:r>
      </m:oMath>
      <w:r>
        <w:t>发出的光通过平面镜反射在光屏上。设光源</w:t>
      </w:r>
      <m:oMath>
        <m:r>
          <m:rPr/>
          <w:rPr>
            <w:rFonts w:ascii="Cambria Math" w:hAnsi="Cambria Math"/>
          </w:rPr>
          <m:t>S</m:t>
        </m:r>
      </m:oMath>
      <w:r>
        <w:t>到平面镜的垂直距离和到光屏的垂直距离分别为</w:t>
      </w:r>
      <m:oMath>
        <m:r>
          <m:rPr/>
          <w:rPr>
            <w:rFonts w:ascii="Cambria Math" w:hAnsi="Cambria Math"/>
          </w:rPr>
          <m:t>a</m:t>
        </m:r>
      </m:oMath>
      <w:r>
        <w:t>和</w:t>
      </w:r>
      <m:oMath>
        <m:r>
          <m:rPr/>
          <w:rPr>
            <w:rFonts w:ascii="Cambria Math" w:hAnsi="Cambria Math"/>
          </w:rPr>
          <m:t>l</m:t>
        </m:r>
      </m:oMath>
      <w:r>
        <w:t>，光的波长为</w:t>
      </w:r>
      <m:oMath>
        <m:r>
          <m:rPr/>
          <w:rPr>
            <w:rFonts w:ascii="Cambria Math" w:hAnsi="Cambria Math"/>
          </w:rPr>
          <m:t>λ</m:t>
        </m:r>
      </m:oMath>
      <w:r>
        <w:t>。则相邻两条亮条纹的中心间距</w:t>
      </w:r>
      <m:oMath>
        <m:r>
          <m:rPr/>
          <w:rPr>
            <w:rFonts w:ascii="Cambria Math"/>
          </w:rPr>
          <m:t>Δx</m:t>
        </m:r>
      </m:oMath>
      <w:r>
        <w:t>是（　　）</w:t>
      </w:r>
    </w:p>
    <w:p>
      <w:pPr>
        <w:jc w:val="left"/>
        <w:textAlignment w:val="center"/>
      </w:pPr>
      <w:r>
        <w:drawing>
          <wp:inline distT="0" distB="0" distL="0" distR="0">
            <wp:extent cx="1672590" cy="1238250"/>
            <wp:effectExtent l="0" t="0" r="381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6"/>
                    <a:stretch>
                      <a:fillRect/>
                    </a:stretch>
                  </pic:blipFill>
                  <pic:spPr>
                    <a:xfrm>
                      <a:off x="0" y="0"/>
                      <a:ext cx="1678427" cy="1242394"/>
                    </a:xfrm>
                    <a:prstGeom prst="rect">
                      <a:avLst/>
                    </a:prstGeom>
                  </pic:spPr>
                </pic:pic>
              </a:graphicData>
            </a:graphic>
          </wp:inline>
        </w:drawing>
      </w:r>
    </w:p>
    <w:p>
      <w:pPr>
        <w:tabs>
          <w:tab w:val="left" w:pos="2076"/>
          <w:tab w:val="left" w:pos="4153"/>
          <w:tab w:val="left" w:pos="6229"/>
        </w:tabs>
        <w:jc w:val="left"/>
        <w:textAlignment w:val="center"/>
      </w:pPr>
      <w:r>
        <w:t>A．</w:t>
      </w:r>
      <m:oMath>
        <m:r>
          <m:rPr/>
          <w:rPr>
            <w:rFonts w:ascii="Cambria Math" w:hAnsi="Cambria Math"/>
          </w:rPr>
          <m:t>Δx=</m:t>
        </m:r>
        <m:f>
          <m:fPr>
            <m:ctrlPr>
              <w:rPr>
                <w:rFonts w:ascii="Cambria Math" w:hAnsi="Cambria Math"/>
                <w:i/>
              </w:rPr>
            </m:ctrlPr>
          </m:fPr>
          <m:num>
            <m:r>
              <m:rPr/>
              <w:rPr>
                <w:rFonts w:ascii="Cambria Math" w:hAnsi="Cambria Math"/>
              </w:rPr>
              <m:t>lλ</m:t>
            </m:r>
            <m:ctrlPr>
              <w:rPr>
                <w:rFonts w:ascii="Cambria Math" w:hAnsi="Cambria Math"/>
                <w:i/>
              </w:rPr>
            </m:ctrlPr>
          </m:num>
          <m:den>
            <m:r>
              <m:rPr/>
              <w:rPr>
                <w:rFonts w:ascii="Cambria Math" w:hAnsi="Cambria Math"/>
              </w:rPr>
              <m:t>a</m:t>
            </m:r>
            <m:ctrlPr>
              <w:rPr>
                <w:rFonts w:ascii="Cambria Math" w:hAnsi="Cambria Math"/>
                <w:i/>
              </w:rPr>
            </m:ctrlPr>
          </m:den>
        </m:f>
      </m:oMath>
      <w:r>
        <w:tab/>
      </w:r>
      <w:r>
        <w:t>B．</w:t>
      </w:r>
      <m:oMath>
        <m:r>
          <m:rPr/>
          <w:rPr>
            <w:rFonts w:ascii="Cambria Math" w:hAnsi="Cambria Math"/>
          </w:rPr>
          <m:t>Δx=</m:t>
        </m:r>
        <m:f>
          <m:fPr>
            <m:ctrlPr>
              <w:rPr>
                <w:rFonts w:ascii="Cambria Math" w:hAnsi="Cambria Math"/>
                <w:i/>
              </w:rPr>
            </m:ctrlPr>
          </m:fPr>
          <m:num>
            <m:r>
              <m:rPr/>
              <w:rPr>
                <w:rFonts w:ascii="Cambria Math" w:hAnsi="Cambria Math"/>
              </w:rPr>
              <m:t>aλ</m:t>
            </m:r>
            <m:ctrlPr>
              <w:rPr>
                <w:rFonts w:ascii="Cambria Math" w:hAnsi="Cambria Math"/>
                <w:i/>
              </w:rPr>
            </m:ctrlPr>
          </m:num>
          <m:den>
            <m:r>
              <m:rPr/>
              <w:rPr>
                <w:rFonts w:ascii="Cambria Math" w:hAnsi="Cambria Math"/>
              </w:rPr>
              <m:t>l</m:t>
            </m:r>
            <m:ctrlPr>
              <w:rPr>
                <w:rFonts w:ascii="Cambria Math" w:hAnsi="Cambria Math"/>
                <w:i/>
              </w:rPr>
            </m:ctrlPr>
          </m:den>
        </m:f>
      </m:oMath>
      <w:r>
        <w:tab/>
      </w:r>
      <w:r>
        <w:t>C．</w:t>
      </w:r>
      <m:oMath>
        <m:r>
          <m:rPr/>
          <w:rPr>
            <w:rFonts w:ascii="Cambria Math" w:hAnsi="Cambria Math"/>
          </w:rPr>
          <m:t>Δx=</m:t>
        </m:r>
        <m:f>
          <m:fPr>
            <m:ctrlPr>
              <w:rPr>
                <w:rFonts w:ascii="Cambria Math" w:hAnsi="Cambria Math"/>
                <w:i/>
              </w:rPr>
            </m:ctrlPr>
          </m:fPr>
          <m:num>
            <m:r>
              <m:rPr/>
              <w:rPr>
                <w:rFonts w:ascii="Cambria Math" w:hAnsi="Cambria Math"/>
              </w:rPr>
              <m:t>lλ</m:t>
            </m:r>
            <m:ctrlPr>
              <w:rPr>
                <w:rFonts w:ascii="Cambria Math" w:hAnsi="Cambria Math"/>
                <w:i/>
              </w:rPr>
            </m:ctrlPr>
          </m:num>
          <m:den>
            <m:r>
              <m:rPr/>
              <w:rPr>
                <w:rFonts w:ascii="Cambria Math" w:hAnsi="Cambria Math"/>
              </w:rPr>
              <m:t>2a</m:t>
            </m:r>
            <m:ctrlPr>
              <w:rPr>
                <w:rFonts w:ascii="Cambria Math" w:hAnsi="Cambria Math"/>
                <w:i/>
              </w:rPr>
            </m:ctrlPr>
          </m:den>
        </m:f>
      </m:oMath>
      <w:r>
        <w:tab/>
      </w:r>
      <w:r>
        <w:t>D．</w:t>
      </w:r>
      <m:oMath>
        <m:r>
          <m:rPr/>
          <w:rPr>
            <w:rFonts w:ascii="Cambria Math"/>
          </w:rPr>
          <m:t>Δx=</m:t>
        </m:r>
        <m:f>
          <m:fPr>
            <m:ctrlPr>
              <w:rPr>
                <w:rFonts w:ascii="Cambria Math" w:hAnsi="Cambria Math"/>
                <w:i/>
              </w:rPr>
            </m:ctrlPr>
          </m:fPr>
          <m:num>
            <m:r>
              <m:rPr/>
              <w:rPr>
                <w:rFonts w:ascii="Cambria Math"/>
              </w:rPr>
              <m:t>aλ</m:t>
            </m:r>
            <m:ctrlPr>
              <w:rPr>
                <w:rFonts w:ascii="Cambria Math" w:hAnsi="Cambria Math"/>
                <w:i/>
              </w:rPr>
            </m:ctrlPr>
          </m:num>
          <m:den>
            <m:r>
              <m:rPr/>
              <w:rPr>
                <w:rFonts w:ascii="Cambria Math"/>
              </w:rPr>
              <m:t>2l</m:t>
            </m:r>
            <m:ctrlPr>
              <w:rPr>
                <w:rFonts w:ascii="Cambria Math" w:hAnsi="Cambria Math"/>
                <w:i/>
              </w:rPr>
            </m:ctrlPr>
          </m:den>
        </m:f>
      </m:oMath>
    </w:p>
    <w:p>
      <w:pPr>
        <w:jc w:val="left"/>
        <w:textAlignment w:val="center"/>
      </w:pPr>
      <w:r>
        <w:t>8．如图所示，与地面夹角为</w:t>
      </w:r>
      <m:oMath>
        <m:r>
          <m:rPr/>
          <w:rPr>
            <w:rFonts w:ascii="Cambria Math"/>
          </w:rPr>
          <m:t>θ</m:t>
        </m:r>
      </m:oMath>
      <w:r>
        <w:t>的光滑斜面顶端固定一垂直斜面的挡板，劲度系数为</w:t>
      </w:r>
      <w:r>
        <w:rPr>
          <w:rFonts w:eastAsia="Times New Roman"/>
          <w:i/>
        </w:rPr>
        <w:t>k</w:t>
      </w:r>
      <w:r>
        <w:t>的轻弹簧一端固定一个质量为</w:t>
      </w:r>
      <w:r>
        <w:rPr>
          <w:rFonts w:eastAsia="Times New Roman"/>
          <w:i/>
        </w:rPr>
        <w:t>m</w:t>
      </w:r>
      <w:r>
        <w:t>的小物体，另一端固定在挡板上。物体在平行斜面方向上做简谐运动，当物体振动到最高点时，弹簧正好为原长。则物体在振动过程中（　　）</w:t>
      </w:r>
    </w:p>
    <w:p>
      <w:pPr>
        <w:jc w:val="left"/>
        <w:textAlignment w:val="center"/>
      </w:pPr>
      <w:r>
        <w:drawing>
          <wp:anchor distT="0" distB="0" distL="114300" distR="114300" simplePos="0" relativeHeight="251662336" behindDoc="0" locked="0" layoutInCell="1" allowOverlap="1">
            <wp:simplePos x="0" y="0"/>
            <wp:positionH relativeFrom="margin">
              <wp:posOffset>3926205</wp:posOffset>
            </wp:positionH>
            <wp:positionV relativeFrom="paragraph">
              <wp:posOffset>80010</wp:posOffset>
            </wp:positionV>
            <wp:extent cx="1282065" cy="895350"/>
            <wp:effectExtent l="0" t="0" r="0" b="0"/>
            <wp:wrapSquare wrapText="bothSides"/>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282065" cy="895350"/>
                    </a:xfrm>
                    <a:prstGeom prst="rect">
                      <a:avLst/>
                    </a:prstGeom>
                  </pic:spPr>
                </pic:pic>
              </a:graphicData>
            </a:graphic>
          </wp:anchor>
        </w:drawing>
      </w:r>
      <w:r>
        <w:t>A．物体在最低点时受的弹力大小为</w:t>
      </w:r>
      <w:r>
        <w:rPr>
          <w:rFonts w:eastAsia="Times New Roman"/>
          <w:i/>
        </w:rPr>
        <w:t>mg</w:t>
      </w:r>
      <w:r>
        <w:t>sin</w:t>
      </w:r>
      <m:oMath>
        <m:r>
          <m:rPr/>
          <w:rPr>
            <w:rFonts w:ascii="Cambria Math"/>
          </w:rPr>
          <m:t>θ</m:t>
        </m:r>
      </m:oMath>
    </w:p>
    <w:p>
      <w:pPr>
        <w:jc w:val="left"/>
        <w:textAlignment w:val="center"/>
      </w:pPr>
      <w:r>
        <w:t>B．弹簧的最大弹性势能等于</w:t>
      </w:r>
      <m:oMath>
        <m:f>
          <m:fPr>
            <m:ctrlPr>
              <w:rPr>
                <w:rFonts w:ascii="Cambria Math" w:hAnsi="Cambria Math"/>
                <w:i/>
              </w:rPr>
            </m:ctrlPr>
          </m:fPr>
          <m:num>
            <m:r>
              <m:rPr/>
              <w:rPr>
                <w:rFonts w:ascii="Cambria Math"/>
              </w:rPr>
              <m:t>2</m:t>
            </m:r>
            <m:sSup>
              <m:sSupPr>
                <m:ctrlPr>
                  <w:rPr>
                    <w:rFonts w:ascii="Cambria Math" w:hAnsi="Cambria Math"/>
                    <w:i/>
                  </w:rPr>
                </m:ctrlPr>
              </m:sSupPr>
              <m:e>
                <m:r>
                  <m:rPr/>
                  <w:rPr>
                    <w:rFonts w:ascii="Cambria Math"/>
                  </w:rPr>
                  <m:t>m</m:t>
                </m:r>
                <m:ctrlPr>
                  <w:rPr>
                    <w:rFonts w:ascii="Cambria Math" w:hAnsi="Cambria Math"/>
                    <w:i/>
                  </w:rPr>
                </m:ctrlPr>
              </m:e>
              <m:sup>
                <m:r>
                  <m:rPr/>
                  <w:rPr>
                    <w:rFonts w:ascii="Cambria Math"/>
                  </w:rPr>
                  <m:t>2</m:t>
                </m:r>
                <m:ctrlPr>
                  <w:rPr>
                    <w:rFonts w:ascii="Cambria Math" w:hAnsi="Cambria Math"/>
                    <w:i/>
                  </w:rPr>
                </m:ctrlPr>
              </m:sup>
            </m:sSup>
            <m:sSup>
              <m:sSupPr>
                <m:ctrlPr>
                  <w:rPr>
                    <w:rFonts w:ascii="Cambria Math" w:hAnsi="Cambria Math"/>
                    <w:i/>
                  </w:rPr>
                </m:ctrlPr>
              </m:sSupPr>
              <m:e>
                <m:r>
                  <m:rPr/>
                  <w:rPr>
                    <w:rFonts w:ascii="Cambria Math"/>
                  </w:rPr>
                  <m:t>g</m:t>
                </m:r>
                <m:ctrlPr>
                  <w:rPr>
                    <w:rFonts w:ascii="Cambria Math" w:hAnsi="Cambria Math"/>
                    <w:i/>
                  </w:rPr>
                </m:ctrlPr>
              </m:e>
              <m:sup>
                <m:r>
                  <m:rPr/>
                  <w:rPr>
                    <w:rFonts w:ascii="Cambria Math"/>
                  </w:rPr>
                  <m:t>2</m:t>
                </m:r>
                <m:ctrlPr>
                  <w:rPr>
                    <w:rFonts w:ascii="Cambria Math" w:hAnsi="Cambria Math"/>
                    <w:i/>
                  </w:rPr>
                </m:ctrlPr>
              </m:sup>
            </m:sSup>
            <m:r>
              <m:rPr>
                <m:nor/>
                <m:sty m:val="p"/>
              </m:rPr>
              <w:rPr>
                <w:rFonts w:ascii="Cambria Math"/>
              </w:rPr>
              <m:t>si</m:t>
            </m:r>
            <m:sSup>
              <m:sSupPr>
                <m:ctrlPr>
                  <w:rPr>
                    <w:rFonts w:ascii="Cambria Math" w:hAnsi="Cambria Math"/>
                  </w:rPr>
                </m:ctrlPr>
              </m:sSupPr>
              <m:e>
                <m:r>
                  <m:rPr>
                    <m:nor/>
                    <m:sty m:val="p"/>
                  </m:rPr>
                  <w:rPr>
                    <w:rFonts w:ascii="Cambria Math"/>
                  </w:rPr>
                  <m:t>n</m:t>
                </m:r>
                <m:ctrlPr>
                  <w:rPr>
                    <w:rFonts w:ascii="Cambria Math" w:hAnsi="Cambria Math"/>
                  </w:rPr>
                </m:ctrlPr>
              </m:e>
              <m:sup>
                <m:r>
                  <m:rPr/>
                  <w:rPr>
                    <w:rFonts w:ascii="Cambria Math"/>
                  </w:rPr>
                  <m:t>2</m:t>
                </m:r>
                <m:ctrlPr>
                  <w:rPr>
                    <w:rFonts w:ascii="Cambria Math" w:hAnsi="Cambria Math"/>
                    <w:i/>
                  </w:rPr>
                </m:ctrlPr>
              </m:sup>
            </m:sSup>
            <m:r>
              <m:rPr/>
              <w:rPr>
                <w:rFonts w:ascii="Cambria Math"/>
              </w:rPr>
              <m:t>θ</m:t>
            </m:r>
            <m:ctrlPr>
              <w:rPr>
                <w:rFonts w:ascii="Cambria Math" w:hAnsi="Cambria Math"/>
                <w:i/>
              </w:rPr>
            </m:ctrlPr>
          </m:num>
          <m:den>
            <m:r>
              <m:rPr/>
              <w:rPr>
                <w:rFonts w:ascii="Cambria Math"/>
              </w:rPr>
              <m:t>k</m:t>
            </m:r>
            <m:ctrlPr>
              <w:rPr>
                <w:rFonts w:ascii="Cambria Math" w:hAnsi="Cambria Math"/>
                <w:i/>
              </w:rPr>
            </m:ctrlPr>
          </m:den>
        </m:f>
      </m:oMath>
    </w:p>
    <w:p>
      <w:pPr>
        <w:jc w:val="left"/>
        <w:textAlignment w:val="center"/>
      </w:pPr>
      <w:r>
        <w:t>C．平衡位置处，弹簧的弹性势能和物体的重力势能总和最大</w:t>
      </w:r>
    </w:p>
    <w:p>
      <w:pPr>
        <w:jc w:val="left"/>
        <w:textAlignment w:val="center"/>
      </w:pPr>
      <w:r>
        <w:t>D．物体的最大动能应等于</w:t>
      </w:r>
      <m:oMath>
        <m:f>
          <m:fPr>
            <m:ctrlPr>
              <w:rPr>
                <w:rFonts w:ascii="Cambria Math" w:hAnsi="Cambria Math"/>
                <w:i/>
              </w:rPr>
            </m:ctrlPr>
          </m:fPr>
          <m:num>
            <m:sSup>
              <m:sSupPr>
                <m:ctrlPr>
                  <w:rPr>
                    <w:rFonts w:ascii="Cambria Math" w:hAnsi="Cambria Math"/>
                    <w:i/>
                  </w:rPr>
                </m:ctrlPr>
              </m:sSupPr>
              <m:e>
                <m:r>
                  <m:rPr/>
                  <w:rPr>
                    <w:rFonts w:ascii="Cambria Math"/>
                  </w:rPr>
                  <m:t>m</m:t>
                </m:r>
                <m:ctrlPr>
                  <w:rPr>
                    <w:rFonts w:ascii="Cambria Math" w:hAnsi="Cambria Math"/>
                    <w:i/>
                  </w:rPr>
                </m:ctrlPr>
              </m:e>
              <m:sup>
                <m:r>
                  <m:rPr/>
                  <w:rPr>
                    <w:rFonts w:ascii="Cambria Math"/>
                  </w:rPr>
                  <m:t>2</m:t>
                </m:r>
                <m:ctrlPr>
                  <w:rPr>
                    <w:rFonts w:ascii="Cambria Math" w:hAnsi="Cambria Math"/>
                    <w:i/>
                  </w:rPr>
                </m:ctrlPr>
              </m:sup>
            </m:sSup>
            <m:sSup>
              <m:sSupPr>
                <m:ctrlPr>
                  <w:rPr>
                    <w:rFonts w:ascii="Cambria Math" w:hAnsi="Cambria Math"/>
                    <w:i/>
                  </w:rPr>
                </m:ctrlPr>
              </m:sSupPr>
              <m:e>
                <m:r>
                  <m:rPr/>
                  <w:rPr>
                    <w:rFonts w:ascii="Cambria Math"/>
                  </w:rPr>
                  <m:t>g</m:t>
                </m:r>
                <m:ctrlPr>
                  <w:rPr>
                    <w:rFonts w:ascii="Cambria Math" w:hAnsi="Cambria Math"/>
                    <w:i/>
                  </w:rPr>
                </m:ctrlPr>
              </m:e>
              <m:sup>
                <m:r>
                  <m:rPr/>
                  <w:rPr>
                    <w:rFonts w:ascii="Cambria Math"/>
                  </w:rPr>
                  <m:t>2</m:t>
                </m:r>
                <m:ctrlPr>
                  <w:rPr>
                    <w:rFonts w:ascii="Cambria Math" w:hAnsi="Cambria Math"/>
                    <w:i/>
                  </w:rPr>
                </m:ctrlPr>
              </m:sup>
            </m:sSup>
            <m:r>
              <m:rPr>
                <m:nor/>
                <m:sty m:val="p"/>
              </m:rPr>
              <w:rPr>
                <w:rFonts w:ascii="Cambria Math"/>
              </w:rPr>
              <m:t>si</m:t>
            </m:r>
            <m:sSup>
              <m:sSupPr>
                <m:ctrlPr>
                  <w:rPr>
                    <w:rFonts w:ascii="Cambria Math" w:hAnsi="Cambria Math"/>
                  </w:rPr>
                </m:ctrlPr>
              </m:sSupPr>
              <m:e>
                <m:r>
                  <m:rPr>
                    <m:nor/>
                    <m:sty m:val="p"/>
                  </m:rPr>
                  <w:rPr>
                    <w:rFonts w:ascii="Cambria Math"/>
                  </w:rPr>
                  <m:t>n</m:t>
                </m:r>
                <m:ctrlPr>
                  <w:rPr>
                    <w:rFonts w:ascii="Cambria Math" w:hAnsi="Cambria Math"/>
                  </w:rPr>
                </m:ctrlPr>
              </m:e>
              <m:sup>
                <m:r>
                  <m:rPr/>
                  <w:rPr>
                    <w:rFonts w:ascii="Cambria Math"/>
                  </w:rPr>
                  <m:t>2</m:t>
                </m:r>
                <m:ctrlPr>
                  <w:rPr>
                    <w:rFonts w:ascii="Cambria Math" w:hAnsi="Cambria Math"/>
                    <w:i/>
                  </w:rPr>
                </m:ctrlPr>
              </m:sup>
            </m:sSup>
            <m:r>
              <m:rPr/>
              <w:rPr>
                <w:rFonts w:ascii="Cambria Math"/>
              </w:rPr>
              <m:t>θ</m:t>
            </m:r>
            <m:ctrlPr>
              <w:rPr>
                <w:rFonts w:ascii="Cambria Math" w:hAnsi="Cambria Math"/>
                <w:i/>
              </w:rPr>
            </m:ctrlPr>
          </m:num>
          <m:den>
            <m:r>
              <m:rPr/>
              <w:rPr>
                <w:rFonts w:ascii="Cambria Math"/>
              </w:rPr>
              <m:t>k</m:t>
            </m:r>
            <m:ctrlPr>
              <w:rPr>
                <w:rFonts w:ascii="Cambria Math" w:hAnsi="Cambria Math"/>
                <w:i/>
              </w:rPr>
            </m:ctrlPr>
          </m:den>
        </m:f>
      </m:oMath>
    </w:p>
    <w:p>
      <w:pPr>
        <w:jc w:val="left"/>
        <w:textAlignment w:val="center"/>
      </w:pPr>
    </w:p>
    <w:p>
      <w:pPr>
        <w:jc w:val="left"/>
        <w:textAlignment w:val="center"/>
      </w:pPr>
      <w:r>
        <w:t>9．关于物质的波粒二象性，下列说法正确的是</w:t>
      </w:r>
    </w:p>
    <w:p>
      <w:pPr>
        <w:jc w:val="left"/>
        <w:textAlignment w:val="center"/>
      </w:pPr>
      <w:r>
        <w:t>A．光的波长越短，光子的能量越大，光的粒子性越明显</w:t>
      </w:r>
    </w:p>
    <w:p>
      <w:pPr>
        <w:jc w:val="left"/>
        <w:textAlignment w:val="center"/>
      </w:pPr>
      <w:r>
        <w:t>B．不仅光子具有波粒二象性，一切运动的微粒都具有波粒二象性</w:t>
      </w:r>
    </w:p>
    <w:p>
      <w:pPr>
        <w:jc w:val="left"/>
        <w:textAlignment w:val="center"/>
      </w:pPr>
      <w:r>
        <w:t>C．光电效应现象揭示了光的粒子性</w:t>
      </w:r>
    </w:p>
    <w:p>
      <w:pPr>
        <w:jc w:val="left"/>
        <w:textAlignment w:val="center"/>
      </w:pPr>
      <w:r>
        <w:t>D．实物的运动有特定的轨道，所以实物不具有波粒二象性</w:t>
      </w:r>
    </w:p>
    <w:p>
      <w:pPr>
        <w:jc w:val="left"/>
        <w:textAlignment w:val="center"/>
      </w:pPr>
    </w:p>
    <w:p>
      <w:pPr>
        <w:jc w:val="left"/>
        <w:textAlignment w:val="center"/>
      </w:pPr>
      <w:r>
        <w:drawing>
          <wp:anchor distT="0" distB="0" distL="114300" distR="114300" simplePos="0" relativeHeight="251663360" behindDoc="0" locked="0" layoutInCell="1" allowOverlap="1">
            <wp:simplePos x="0" y="0"/>
            <wp:positionH relativeFrom="margin">
              <wp:posOffset>3488055</wp:posOffset>
            </wp:positionH>
            <wp:positionV relativeFrom="paragraph">
              <wp:posOffset>466090</wp:posOffset>
            </wp:positionV>
            <wp:extent cx="1714500" cy="1057275"/>
            <wp:effectExtent l="0" t="0" r="0" b="9525"/>
            <wp:wrapSquare wrapText="bothSides"/>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14500" cy="1057275"/>
                    </a:xfrm>
                    <a:prstGeom prst="rect">
                      <a:avLst/>
                    </a:prstGeom>
                  </pic:spPr>
                </pic:pic>
              </a:graphicData>
            </a:graphic>
          </wp:anchor>
        </w:drawing>
      </w:r>
      <w:r>
        <w:t>10．波的衍射和干涉都是波特有的现象，图甲为水波的衍射实验，挡板M是固定的，挡板N可以上下移动。图乙为两列频率相同的横波相遇时某一时刻的情况，实线表示波峰，虚线表示波谷。下列说法正确的是（　　）</w:t>
      </w:r>
    </w:p>
    <w:p>
      <w:pPr>
        <w:jc w:val="left"/>
        <w:textAlignment w:val="center"/>
      </w:pPr>
      <w:r>
        <w:t>A．甲图中挡板N向下移动一段距离，衍射现象变得明显</w:t>
      </w:r>
    </w:p>
    <w:p>
      <w:pPr>
        <w:jc w:val="left"/>
        <w:textAlignment w:val="center"/>
      </w:pPr>
      <w:r>
        <w:t>B．甲图中减小波源的振动频率，衍射现象变得明显</w:t>
      </w:r>
    </w:p>
    <w:p>
      <w:pPr>
        <w:jc w:val="left"/>
        <w:textAlignment w:val="center"/>
      </w:pPr>
      <w:r>
        <w:t>C．乙图中M、N两质点均为振动加强点</w:t>
      </w:r>
    </w:p>
    <w:p>
      <w:pPr>
        <w:jc w:val="left"/>
        <w:textAlignment w:val="center"/>
      </w:pPr>
      <w:r>
        <w:t>D．乙图中M质点经过四分之一个周期后的加速度为零</w:t>
      </w:r>
    </w:p>
    <w:p>
      <w:pPr>
        <w:jc w:val="left"/>
        <w:textAlignment w:val="center"/>
      </w:pPr>
    </w:p>
    <w:p>
      <w:pPr>
        <w:jc w:val="left"/>
        <w:textAlignment w:val="center"/>
      </w:pPr>
    </w:p>
    <w:p>
      <w:pPr>
        <w:jc w:val="left"/>
        <w:textAlignment w:val="center"/>
      </w:pPr>
      <w:r>
        <w:t>11．如图为氢原子能级图，用某种单色光照射容器中大量处于</w:t>
      </w:r>
      <m:oMath>
        <m:r>
          <m:rPr/>
          <w:rPr>
            <w:rFonts w:ascii="Cambria Math" w:hAnsi="Cambria Math"/>
          </w:rPr>
          <m:t>n=2</m:t>
        </m:r>
      </m:oMath>
      <w:r>
        <w:t>能级的氢原子，氢原子吸收这种光子后，能发出波长分别为</w:t>
      </w:r>
      <m:oMath>
        <m:sSub>
          <m:sSubPr>
            <m:ctrlPr>
              <w:rPr>
                <w:rFonts w:ascii="Cambria Math" w:hAnsi="Cambria Math"/>
                <w:i/>
              </w:rPr>
            </m:ctrlPr>
          </m:sSubPr>
          <m:e>
            <m:r>
              <m:rPr/>
              <w:rPr>
                <w:rFonts w:ascii="Cambria Math" w:hAnsi="Cambria Math"/>
              </w:rPr>
              <m:t>λ</m:t>
            </m:r>
            <m:ctrlPr>
              <w:rPr>
                <w:rFonts w:ascii="Cambria Math" w:hAnsi="Cambria Math"/>
                <w:i/>
              </w:rPr>
            </m:ctrlPr>
          </m:e>
          <m:sub>
            <m:r>
              <m:rPr/>
              <w:rPr>
                <w:rFonts w:ascii="Cambria Math" w:hAnsi="Cambria Math"/>
              </w:rPr>
              <m:t>1</m:t>
            </m:r>
            <m:ctrlPr>
              <w:rPr>
                <w:rFonts w:ascii="Cambria Math" w:hAnsi="Cambria Math"/>
                <w:i/>
              </w:rPr>
            </m:ctrlPr>
          </m:sub>
        </m:sSub>
      </m:oMath>
      <w:r>
        <w:t>、</w:t>
      </w:r>
      <m:oMath>
        <m:sSub>
          <m:sSubPr>
            <m:ctrlPr>
              <w:rPr>
                <w:rFonts w:ascii="Cambria Math" w:hAnsi="Cambria Math"/>
                <w:i/>
              </w:rPr>
            </m:ctrlPr>
          </m:sSubPr>
          <m:e>
            <m:r>
              <m:rPr/>
              <w:rPr>
                <w:rFonts w:ascii="Cambria Math" w:hAnsi="Cambria Math"/>
              </w:rPr>
              <m:t>λ</m:t>
            </m:r>
            <m:ctrlPr>
              <w:rPr>
                <w:rFonts w:ascii="Cambria Math" w:hAnsi="Cambria Math"/>
                <w:i/>
              </w:rPr>
            </m:ctrlPr>
          </m:e>
          <m:sub>
            <m:r>
              <m:rPr/>
              <w:rPr>
                <w:rFonts w:ascii="Cambria Math" w:hAnsi="Cambria Math"/>
              </w:rPr>
              <m:t>2</m:t>
            </m:r>
            <m:ctrlPr>
              <w:rPr>
                <w:rFonts w:ascii="Cambria Math" w:hAnsi="Cambria Math"/>
                <w:i/>
              </w:rPr>
            </m:ctrlPr>
          </m:sub>
        </m:sSub>
      </m:oMath>
      <w:r>
        <w:t>、</w:t>
      </w:r>
      <m:oMath>
        <m:sSub>
          <m:sSubPr>
            <m:ctrlPr>
              <w:rPr>
                <w:rFonts w:ascii="Cambria Math" w:hAnsi="Cambria Math"/>
                <w:i/>
              </w:rPr>
            </m:ctrlPr>
          </m:sSubPr>
          <m:e>
            <m:r>
              <m:rPr/>
              <w:rPr>
                <w:rFonts w:ascii="Cambria Math" w:hAnsi="Cambria Math"/>
              </w:rPr>
              <m:t>λ</m:t>
            </m:r>
            <m:ctrlPr>
              <w:rPr>
                <w:rFonts w:ascii="Cambria Math" w:hAnsi="Cambria Math"/>
                <w:i/>
              </w:rPr>
            </m:ctrlPr>
          </m:e>
          <m:sub>
            <m:r>
              <m:rPr/>
              <w:rPr>
                <w:rFonts w:ascii="Cambria Math" w:hAnsi="Cambria Math"/>
              </w:rPr>
              <m:t>3</m:t>
            </m:r>
            <m:ctrlPr>
              <w:rPr>
                <w:rFonts w:ascii="Cambria Math" w:hAnsi="Cambria Math"/>
                <w:i/>
              </w:rPr>
            </m:ctrlPr>
          </m:sub>
        </m:sSub>
      </m:oMath>
      <w:r>
        <w:t>的三种光子，且</w:t>
      </w:r>
      <m:oMath>
        <m:sSub>
          <m:sSubPr>
            <m:ctrlPr>
              <w:rPr>
                <w:rFonts w:ascii="Cambria Math" w:hAnsi="Cambria Math"/>
                <w:i/>
              </w:rPr>
            </m:ctrlPr>
          </m:sSubPr>
          <m:e>
            <m:r>
              <m:rPr/>
              <w:rPr>
                <w:rFonts w:ascii="Cambria Math"/>
              </w:rPr>
              <m:t>λ</m:t>
            </m:r>
            <m:ctrlPr>
              <w:rPr>
                <w:rFonts w:ascii="Cambria Math" w:hAnsi="Cambria Math"/>
                <w:i/>
              </w:rPr>
            </m:ctrlPr>
          </m:e>
          <m:sub>
            <m:r>
              <m:rPr/>
              <w:rPr>
                <w:rFonts w:ascii="Cambria Math"/>
              </w:rPr>
              <m:t>1</m:t>
            </m:r>
            <m:ctrlPr>
              <w:rPr>
                <w:rFonts w:ascii="Cambria Math" w:hAnsi="Cambria Math"/>
                <w:i/>
              </w:rPr>
            </m:ctrlPr>
          </m:sub>
        </m:sSub>
        <m:r>
          <m:rPr/>
          <w:rPr>
            <w:rFonts w:ascii="Cambria Math"/>
          </w:rPr>
          <m:t>&gt;</m:t>
        </m:r>
        <m:sSub>
          <m:sSubPr>
            <m:ctrlPr>
              <w:rPr>
                <w:rFonts w:ascii="Cambria Math" w:hAnsi="Cambria Math"/>
                <w:i/>
              </w:rPr>
            </m:ctrlPr>
          </m:sSubPr>
          <m:e>
            <m:r>
              <m:rPr/>
              <w:rPr>
                <w:rFonts w:ascii="Cambria Math"/>
              </w:rPr>
              <m:t>λ</m:t>
            </m:r>
            <m:ctrlPr>
              <w:rPr>
                <w:rFonts w:ascii="Cambria Math" w:hAnsi="Cambria Math"/>
                <w:i/>
              </w:rPr>
            </m:ctrlPr>
          </m:e>
          <m:sub>
            <m:r>
              <m:rPr/>
              <w:rPr>
                <w:rFonts w:ascii="Cambria Math"/>
              </w:rPr>
              <m:t>2</m:t>
            </m:r>
            <m:ctrlPr>
              <w:rPr>
                <w:rFonts w:ascii="Cambria Math" w:hAnsi="Cambria Math"/>
                <w:i/>
              </w:rPr>
            </m:ctrlPr>
          </m:sub>
        </m:sSub>
        <m:r>
          <m:rPr/>
          <w:rPr>
            <w:rFonts w:ascii="Cambria Math"/>
          </w:rPr>
          <m:t>&gt;</m:t>
        </m:r>
        <m:sSub>
          <m:sSubPr>
            <m:ctrlPr>
              <w:rPr>
                <w:rFonts w:ascii="Cambria Math" w:hAnsi="Cambria Math"/>
                <w:i/>
              </w:rPr>
            </m:ctrlPr>
          </m:sSubPr>
          <m:e>
            <m:r>
              <m:rPr/>
              <w:rPr>
                <w:rFonts w:ascii="Cambria Math"/>
              </w:rPr>
              <m:t>λ</m:t>
            </m:r>
            <m:ctrlPr>
              <w:rPr>
                <w:rFonts w:ascii="Cambria Math" w:hAnsi="Cambria Math"/>
                <w:i/>
              </w:rPr>
            </m:ctrlPr>
          </m:e>
          <m:sub>
            <m:r>
              <m:rPr/>
              <w:rPr>
                <w:rFonts w:ascii="Cambria Math"/>
              </w:rPr>
              <m:t>3</m:t>
            </m:r>
            <m:ctrlPr>
              <w:rPr>
                <w:rFonts w:ascii="Cambria Math" w:hAnsi="Cambria Math"/>
                <w:i/>
              </w:rPr>
            </m:ctrlPr>
          </m:sub>
        </m:sSub>
      </m:oMath>
      <w:r>
        <w:t>，则照射光光子的波长为（　　）</w:t>
      </w:r>
    </w:p>
    <w:p>
      <w:pPr>
        <w:jc w:val="left"/>
        <w:textAlignment w:val="center"/>
      </w:pPr>
      <w:r>
        <w:drawing>
          <wp:inline distT="0" distB="0" distL="0" distR="0">
            <wp:extent cx="1276350" cy="1345565"/>
            <wp:effectExtent l="0" t="0" r="0" b="698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29"/>
                    <a:stretch>
                      <a:fillRect/>
                    </a:stretch>
                  </pic:blipFill>
                  <pic:spPr>
                    <a:xfrm>
                      <a:off x="0" y="0"/>
                      <a:ext cx="1288788" cy="1358926"/>
                    </a:xfrm>
                    <a:prstGeom prst="rect">
                      <a:avLst/>
                    </a:prstGeom>
                  </pic:spPr>
                </pic:pic>
              </a:graphicData>
            </a:graphic>
          </wp:inline>
        </w:drawing>
      </w:r>
    </w:p>
    <w:p>
      <w:pPr>
        <w:tabs>
          <w:tab w:val="left" w:pos="2076"/>
          <w:tab w:val="left" w:pos="4153"/>
          <w:tab w:val="left" w:pos="6229"/>
        </w:tabs>
        <w:jc w:val="left"/>
        <w:textAlignment w:val="center"/>
      </w:pPr>
      <w:r>
        <w:t>A．</w:t>
      </w:r>
      <m:oMath>
        <m:sSub>
          <m:sSubPr>
            <m:ctrlPr>
              <w:rPr>
                <w:rFonts w:ascii="Cambria Math" w:hAnsi="Cambria Math"/>
                <w:i/>
              </w:rPr>
            </m:ctrlPr>
          </m:sSubPr>
          <m:e>
            <m:r>
              <m:rPr/>
              <w:rPr>
                <w:rFonts w:ascii="Cambria Math" w:hAnsi="Cambria Math"/>
              </w:rPr>
              <m:t>λ</m:t>
            </m:r>
            <m:ctrlPr>
              <w:rPr>
                <w:rFonts w:ascii="Cambria Math" w:hAnsi="Cambria Math"/>
                <w:i/>
              </w:rPr>
            </m:ctrlPr>
          </m:e>
          <m:sub>
            <m:r>
              <m:rPr/>
              <w:rPr>
                <w:rFonts w:ascii="Cambria Math" w:hAnsi="Cambria Math"/>
              </w:rPr>
              <m:t>1</m:t>
            </m:r>
            <m:ctrlPr>
              <w:rPr>
                <w:rFonts w:ascii="Cambria Math" w:hAnsi="Cambria Math"/>
                <w:i/>
              </w:rPr>
            </m:ctrlPr>
          </m:sub>
        </m:sSub>
      </m:oMath>
      <w:r>
        <w:tab/>
      </w:r>
      <w:r>
        <w:t>B．</w:t>
      </w:r>
      <m:oMath>
        <m:sSub>
          <m:sSubPr>
            <m:ctrlPr>
              <w:rPr>
                <w:rFonts w:ascii="Cambria Math" w:hAnsi="Cambria Math"/>
                <w:i/>
              </w:rPr>
            </m:ctrlPr>
          </m:sSubPr>
          <m:e>
            <m:r>
              <m:rPr/>
              <w:rPr>
                <w:rFonts w:ascii="Cambria Math" w:hAnsi="Cambria Math"/>
              </w:rPr>
              <m:t>λ</m:t>
            </m:r>
            <m:ctrlPr>
              <w:rPr>
                <w:rFonts w:ascii="Cambria Math" w:hAnsi="Cambria Math"/>
                <w:i/>
              </w:rPr>
            </m:ctrlPr>
          </m:e>
          <m:sub>
            <m:r>
              <m:rPr/>
              <w:rPr>
                <w:rFonts w:ascii="Cambria Math" w:hAnsi="Cambria Math"/>
              </w:rPr>
              <m:t>3</m:t>
            </m:r>
            <m:ctrlPr>
              <w:rPr>
                <w:rFonts w:ascii="Cambria Math" w:hAnsi="Cambria Math"/>
                <w:i/>
              </w:rPr>
            </m:ctrlPr>
          </m:sub>
        </m:sSub>
      </m:oMath>
      <w:r>
        <w:tab/>
      </w:r>
      <w:r>
        <w:t>C．</w:t>
      </w:r>
      <m:oMath>
        <m:sSub>
          <m:sSubPr>
            <m:ctrlPr>
              <w:rPr>
                <w:rFonts w:ascii="Cambria Math" w:hAnsi="Cambria Math"/>
                <w:i/>
              </w:rPr>
            </m:ctrlPr>
          </m:sSubPr>
          <m:e>
            <m:r>
              <m:rPr/>
              <w:rPr>
                <w:rFonts w:ascii="Cambria Math" w:hAnsi="Cambria Math"/>
              </w:rPr>
              <m:t>λ</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λ</m:t>
            </m:r>
            <m:ctrlPr>
              <w:rPr>
                <w:rFonts w:ascii="Cambria Math" w:hAnsi="Cambria Math"/>
                <w:i/>
              </w:rPr>
            </m:ctrlPr>
          </m:e>
          <m:sub>
            <m:r>
              <m:rPr/>
              <w:rPr>
                <w:rFonts w:ascii="Cambria Math" w:hAnsi="Cambria Math"/>
              </w:rPr>
              <m:t>2</m:t>
            </m:r>
            <m:ctrlPr>
              <w:rPr>
                <w:rFonts w:ascii="Cambria Math" w:hAnsi="Cambria Math"/>
                <w:i/>
              </w:rPr>
            </m:ctrlPr>
          </m:sub>
        </m:sSub>
      </m:oMath>
      <w:r>
        <w:tab/>
      </w:r>
      <w:r>
        <w:t>D．</w:t>
      </w:r>
      <m:oMath>
        <m:f>
          <m:fPr>
            <m:ctrlPr>
              <w:rPr>
                <w:rFonts w:ascii="Cambria Math" w:hAnsi="Cambria Math"/>
                <w:i/>
              </w:rPr>
            </m:ctrlPr>
          </m:fPr>
          <m:num>
            <m:sSub>
              <m:sSubPr>
                <m:ctrlPr>
                  <w:rPr>
                    <w:rFonts w:ascii="Cambria Math" w:hAnsi="Cambria Math"/>
                    <w:i/>
                  </w:rPr>
                </m:ctrlPr>
              </m:sSubPr>
              <m:e>
                <m:r>
                  <m:rPr/>
                  <w:rPr>
                    <w:rFonts w:ascii="Cambria Math"/>
                  </w:rPr>
                  <m:t>λ</m:t>
                </m:r>
                <m:ctrlPr>
                  <w:rPr>
                    <w:rFonts w:ascii="Cambria Math" w:hAnsi="Cambria Math"/>
                    <w:i/>
                  </w:rPr>
                </m:ctrlPr>
              </m:e>
              <m:sub>
                <m:r>
                  <m:rPr/>
                  <w:rPr>
                    <w:rFonts w:ascii="Cambria Math"/>
                  </w:rPr>
                  <m:t>2</m:t>
                </m:r>
                <m:ctrlPr>
                  <w:rPr>
                    <w:rFonts w:ascii="Cambria Math" w:hAnsi="Cambria Math"/>
                    <w:i/>
                  </w:rPr>
                </m:ctrlPr>
              </m:sub>
            </m:sSub>
            <m:sSub>
              <m:sSubPr>
                <m:ctrlPr>
                  <w:rPr>
                    <w:rFonts w:ascii="Cambria Math" w:hAnsi="Cambria Math"/>
                    <w:i/>
                  </w:rPr>
                </m:ctrlPr>
              </m:sSubPr>
              <m:e>
                <m:r>
                  <m:rPr/>
                  <w:rPr>
                    <w:rFonts w:ascii="Cambria Math"/>
                  </w:rPr>
                  <m:t>λ</m:t>
                </m:r>
                <m:ctrlPr>
                  <w:rPr>
                    <w:rFonts w:ascii="Cambria Math" w:hAnsi="Cambria Math"/>
                    <w:i/>
                  </w:rPr>
                </m:ctrlPr>
              </m:e>
              <m:sub>
                <m:r>
                  <m:rPr/>
                  <w:rPr>
                    <w:rFonts w:ascii="Cambria Math"/>
                  </w:rPr>
                  <m:t>3</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rPr>
                  <m:t>λ</m:t>
                </m:r>
                <m:ctrlPr>
                  <w:rPr>
                    <w:rFonts w:ascii="Cambria Math" w:hAnsi="Cambria Math"/>
                    <w:i/>
                  </w:rPr>
                </m:ctrlPr>
              </m:e>
              <m:sub>
                <m:r>
                  <m:rPr/>
                  <w:rPr>
                    <w:rFonts w:ascii="Cambria Math"/>
                  </w:rPr>
                  <m:t>2</m:t>
                </m:r>
                <m:ctrlPr>
                  <w:rPr>
                    <w:rFonts w:ascii="Cambria Math" w:hAnsi="Cambria Math"/>
                    <w:i/>
                  </w:rPr>
                </m:ctrlPr>
              </m:sub>
            </m:sSub>
            <m:r>
              <m:rPr/>
              <w:rPr>
                <w:rFonts w:ascii="Cambria Math"/>
              </w:rPr>
              <m:t>−</m:t>
            </m:r>
            <m:sSub>
              <m:sSubPr>
                <m:ctrlPr>
                  <w:rPr>
                    <w:rFonts w:ascii="Cambria Math" w:hAnsi="Cambria Math"/>
                    <w:i/>
                  </w:rPr>
                </m:ctrlPr>
              </m:sSubPr>
              <m:e>
                <m:r>
                  <m:rPr/>
                  <w:rPr>
                    <w:rFonts w:ascii="Cambria Math"/>
                  </w:rPr>
                  <m:t>λ</m:t>
                </m:r>
                <m:ctrlPr>
                  <w:rPr>
                    <w:rFonts w:ascii="Cambria Math" w:hAnsi="Cambria Math"/>
                    <w:i/>
                  </w:rPr>
                </m:ctrlPr>
              </m:e>
              <m:sub>
                <m:r>
                  <m:rPr/>
                  <w:rPr>
                    <w:rFonts w:ascii="Cambria Math"/>
                  </w:rPr>
                  <m:t>3</m:t>
                </m:r>
                <m:ctrlPr>
                  <w:rPr>
                    <w:rFonts w:ascii="Cambria Math" w:hAnsi="Cambria Math"/>
                    <w:i/>
                  </w:rPr>
                </m:ctrlPr>
              </m:sub>
            </m:sSub>
            <m:ctrlPr>
              <w:rPr>
                <w:rFonts w:ascii="Cambria Math" w:hAnsi="Cambria Math"/>
                <w:i/>
              </w:rPr>
            </m:ctrlPr>
          </m:den>
        </m:f>
      </m:oMath>
    </w:p>
    <w:p>
      <w:pPr>
        <w:jc w:val="left"/>
        <w:textAlignment w:val="center"/>
      </w:pPr>
      <w:r>
        <w:t>12．如图所示，一列横波在</w:t>
      </w:r>
      <w:r>
        <w:rPr>
          <w:rFonts w:eastAsia="Times New Roman"/>
          <w:i/>
        </w:rPr>
        <w:t>x</w:t>
      </w:r>
      <w:r>
        <w:t>轴上传播，在</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=0</m:t>
        </m:r>
      </m:oMath>
      <w:r>
        <w:t>时刻的波形如图中实线所示，</w:t>
      </w:r>
      <m:oMath>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2</m:t>
            </m:r>
            <m:ctrlPr>
              <w:rPr>
                <w:rFonts w:ascii="Cambria Math" w:hAnsi="Cambria Math"/>
                <w:i/>
              </w:rPr>
            </m:ctrlPr>
          </m:sub>
        </m:sSub>
        <m:r>
          <m:rPr/>
          <w:rPr>
            <w:rFonts w:ascii="Cambria Math"/>
          </w:rPr>
          <m:t>=0.10s</m:t>
        </m:r>
      </m:oMath>
      <w:r>
        <w:t>时刻的波形如图中虚线所示，下列说法中正确的是（　　）</w:t>
      </w:r>
    </w:p>
    <w:p>
      <w:pPr>
        <w:jc w:val="left"/>
        <w:textAlignment w:val="center"/>
      </w:pPr>
      <w:r>
        <w:drawing>
          <wp:inline distT="0" distB="0" distL="0" distR="0">
            <wp:extent cx="1762125" cy="728345"/>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30"/>
                    <a:stretch>
                      <a:fillRect/>
                    </a:stretch>
                  </pic:blipFill>
                  <pic:spPr>
                    <a:xfrm>
                      <a:off x="0" y="0"/>
                      <a:ext cx="1770244" cy="731868"/>
                    </a:xfrm>
                    <a:prstGeom prst="rect">
                      <a:avLst/>
                    </a:prstGeom>
                  </pic:spPr>
                </pic:pic>
              </a:graphicData>
            </a:graphic>
          </wp:inline>
        </w:drawing>
      </w:r>
    </w:p>
    <w:p>
      <w:pPr>
        <w:jc w:val="left"/>
        <w:textAlignment w:val="center"/>
      </w:pPr>
      <w:r>
        <w:t>A．由该波形曲线读出这列波的振幅为0.2m</w:t>
      </w:r>
    </w:p>
    <w:p>
      <w:pPr>
        <w:jc w:val="left"/>
        <w:textAlignment w:val="center"/>
      </w:pPr>
      <w:r>
        <w:t>B．该波形曲线上</w:t>
      </w:r>
      <m:oMath>
        <m:r>
          <m:rPr/>
          <w:rPr>
            <w:rFonts w:ascii="Cambria Math"/>
          </w:rPr>
          <m:t>x=5m</m:t>
        </m:r>
      </m:oMath>
      <w:r>
        <w:t>的质点振动的周期可能是0.3s</w:t>
      </w:r>
    </w:p>
    <w:p>
      <w:pPr>
        <w:jc w:val="left"/>
        <w:textAlignment w:val="center"/>
      </w:pPr>
      <w:r>
        <w:t>C．若周期大于</w:t>
      </w:r>
      <m:oMath>
        <m:f>
          <m:fPr>
            <m:ctrlPr>
              <w:rPr>
                <w:rFonts w:ascii="Cambria Math" w:hAnsi="Cambria Math"/>
                <w:i/>
              </w:rPr>
            </m:ctrlPr>
          </m:fPr>
          <m:num>
            <m:r>
              <m:rPr/>
              <w:rPr>
                <w:rFonts w:ascii="Cambria Math"/>
              </w:rPr>
              <m:t>1</m:t>
            </m:r>
            <m:ctrlPr>
              <w:rPr>
                <w:rFonts w:ascii="Cambria Math" w:hAnsi="Cambria Math"/>
                <w:i/>
              </w:rPr>
            </m:ctrlPr>
          </m:num>
          <m:den>
            <m:r>
              <m:rPr/>
              <w:rPr>
                <w:rFonts w:ascii="Cambria Math"/>
              </w:rPr>
              <m:t>2</m:t>
            </m:r>
            <m:ctrlPr>
              <w:rPr>
                <w:rFonts w:ascii="Cambria Math" w:hAnsi="Cambria Math"/>
                <w:i/>
              </w:rPr>
            </m:ctrlPr>
          </m:den>
        </m:f>
        <m:d>
          <m:dPr>
            <m:ctrlPr>
              <w:rPr>
                <w:rFonts w:ascii="Cambria Math" w:hAnsi="Cambria Math"/>
                <w:i/>
              </w:rPr>
            </m:ctrlPr>
          </m:dPr>
          <m:e>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2</m:t>
                </m:r>
                <m:ctrlPr>
                  <w:rPr>
                    <w:rFonts w:ascii="Cambria Math" w:hAnsi="Cambria Math"/>
                    <w:i/>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1</m:t>
                </m:r>
                <m:ctrlPr>
                  <w:rPr>
                    <w:rFonts w:ascii="Cambria Math" w:hAnsi="Cambria Math"/>
                    <w:i/>
                  </w:rPr>
                </m:ctrlPr>
              </m:sub>
            </m:sSub>
            <m:ctrlPr>
              <w:rPr>
                <w:rFonts w:ascii="Cambria Math" w:hAnsi="Cambria Math"/>
                <w:i/>
              </w:rPr>
            </m:ctrlPr>
          </m:e>
        </m:d>
      </m:oMath>
      <w:r>
        <w:t>，则可能的最小波速是20m/s</w:t>
      </w:r>
    </w:p>
    <w:p>
      <w:pPr>
        <w:jc w:val="left"/>
        <w:textAlignment w:val="center"/>
      </w:pPr>
      <w:r>
        <w:t>D．若周期大于</w:t>
      </w:r>
      <m:oMath>
        <m:f>
          <m:fPr>
            <m:ctrlPr>
              <w:rPr>
                <w:rFonts w:ascii="Cambria Math" w:hAnsi="Cambria Math"/>
                <w:i/>
              </w:rPr>
            </m:ctrlPr>
          </m:fPr>
          <m:num>
            <m:r>
              <m:rPr/>
              <w:rPr>
                <w:rFonts w:ascii="Cambria Math"/>
              </w:rPr>
              <m:t>1</m:t>
            </m:r>
            <m:ctrlPr>
              <w:rPr>
                <w:rFonts w:ascii="Cambria Math" w:hAnsi="Cambria Math"/>
                <w:i/>
              </w:rPr>
            </m:ctrlPr>
          </m:num>
          <m:den>
            <m:r>
              <m:rPr/>
              <w:rPr>
                <w:rFonts w:ascii="Cambria Math"/>
              </w:rPr>
              <m:t>2</m:t>
            </m:r>
            <m:ctrlPr>
              <w:rPr>
                <w:rFonts w:ascii="Cambria Math" w:hAnsi="Cambria Math"/>
                <w:i/>
              </w:rPr>
            </m:ctrlPr>
          </m:den>
        </m:f>
        <m:d>
          <m:dPr>
            <m:ctrlPr>
              <w:rPr>
                <w:rFonts w:ascii="Cambria Math" w:hAnsi="Cambria Math"/>
                <w:i/>
              </w:rPr>
            </m:ctrlPr>
          </m:dPr>
          <m:e>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2</m:t>
                </m:r>
                <m:ctrlPr>
                  <w:rPr>
                    <w:rFonts w:ascii="Cambria Math" w:hAnsi="Cambria Math"/>
                    <w:i/>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1</m:t>
                </m:r>
                <m:ctrlPr>
                  <w:rPr>
                    <w:rFonts w:ascii="Cambria Math" w:hAnsi="Cambria Math"/>
                    <w:i/>
                  </w:rPr>
                </m:ctrlPr>
              </m:sub>
            </m:sSub>
            <m:ctrlPr>
              <w:rPr>
                <w:rFonts w:ascii="Cambria Math" w:hAnsi="Cambria Math"/>
                <w:i/>
              </w:rPr>
            </m:ctrlPr>
          </m:e>
        </m:d>
      </m:oMath>
      <w:r>
        <w:t>，则可能的最大波速是140m/s</w:t>
      </w:r>
    </w:p>
    <w:p>
      <w:pPr>
        <w:rPr>
          <w:b/>
        </w:rPr>
      </w:pPr>
      <w:r>
        <w:rPr>
          <w:rFonts w:hint="eastAsia"/>
          <w:b/>
        </w:rPr>
        <w:t>二、实验题（共1</w:t>
      </w:r>
      <w:r>
        <w:rPr>
          <w:b/>
        </w:rPr>
        <w:t>1</w:t>
      </w:r>
      <w:r>
        <w:rPr>
          <w:rFonts w:hint="eastAsia"/>
          <w:b/>
        </w:rPr>
        <w:t>分）</w:t>
      </w:r>
    </w:p>
    <w:p>
      <w:pPr>
        <w:jc w:val="left"/>
        <w:textAlignment w:val="center"/>
      </w:pPr>
      <w:r>
        <w:t>13．某实验小组在“利用单摆测定当地重力加速度”的实验中：</w:t>
      </w:r>
    </w:p>
    <w:p>
      <w:pPr>
        <w:jc w:val="left"/>
        <w:textAlignment w:val="center"/>
      </w:pPr>
      <w:r>
        <w:t>（1）用游标卡尺测定摆球的直径，测量结果如图所示，则该摆球的直径为______cm。</w:t>
      </w:r>
    </w:p>
    <w:p>
      <w:pPr>
        <w:jc w:val="left"/>
        <w:textAlignment w:val="center"/>
      </w:pPr>
      <w:r>
        <w:drawing>
          <wp:inline distT="0" distB="0" distL="0" distR="0">
            <wp:extent cx="2324100" cy="962025"/>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31"/>
                    <a:stretch>
                      <a:fillRect/>
                    </a:stretch>
                  </pic:blipFill>
                  <pic:spPr>
                    <a:xfrm>
                      <a:off x="0" y="0"/>
                      <a:ext cx="2340641" cy="968809"/>
                    </a:xfrm>
                    <a:prstGeom prst="rect">
                      <a:avLst/>
                    </a:prstGeom>
                  </pic:spPr>
                </pic:pic>
              </a:graphicData>
            </a:graphic>
          </wp:inline>
        </w:drawing>
      </w:r>
    </w:p>
    <w:p>
      <w:pPr>
        <w:jc w:val="left"/>
        <w:textAlignment w:val="center"/>
      </w:pPr>
      <w:r>
        <w:t>（2）小组成员在实验过程中有如下说法，其中正确的是______ （填选项前的字母）。</w:t>
      </w:r>
    </w:p>
    <w:p>
      <w:pPr>
        <w:jc w:val="left"/>
        <w:textAlignment w:val="center"/>
      </w:pPr>
      <w:r>
        <w:t>A．把单摆从平衡位置拉开30°的摆角，并在释放摆球的同时开始计时</w:t>
      </w:r>
    </w:p>
    <w:p>
      <w:pPr>
        <w:jc w:val="left"/>
        <w:textAlignment w:val="center"/>
      </w:pPr>
      <w:r>
        <w:t>B．测量摆球通过最低点100次的时间</w:t>
      </w:r>
      <w:r>
        <w:rPr>
          <w:rFonts w:eastAsia="Times New Roman"/>
          <w:i/>
        </w:rPr>
        <w:t>t</w:t>
      </w:r>
      <w:r>
        <w:t>，则单摆周期为</w:t>
      </w:r>
      <m:oMath>
        <m:f>
          <m:fPr>
            <m:ctrlPr>
              <w:rPr>
                <w:rFonts w:ascii="Cambria Math" w:hAnsi="Cambria Math"/>
                <w:i/>
              </w:rPr>
            </m:ctrlPr>
          </m:fPr>
          <m:num>
            <m:r>
              <m:rPr/>
              <w:rPr>
                <w:rFonts w:ascii="Cambria Math"/>
              </w:rPr>
              <m:t>t</m:t>
            </m:r>
            <m:ctrlPr>
              <w:rPr>
                <w:rFonts w:ascii="Cambria Math" w:hAnsi="Cambria Math"/>
                <w:i/>
              </w:rPr>
            </m:ctrlPr>
          </m:num>
          <m:den>
            <m:r>
              <m:rPr/>
              <w:rPr>
                <w:rFonts w:ascii="Cambria Math"/>
              </w:rPr>
              <m:t>100</m:t>
            </m:r>
            <m:ctrlPr>
              <w:rPr>
                <w:rFonts w:ascii="Cambria Math" w:hAnsi="Cambria Math"/>
                <w:i/>
              </w:rPr>
            </m:ctrlPr>
          </m:den>
        </m:f>
      </m:oMath>
    </w:p>
    <w:p>
      <w:pPr>
        <w:jc w:val="left"/>
        <w:textAlignment w:val="center"/>
      </w:pPr>
      <w:r>
        <w:t>C．用悬线的长度加摆球的直径作为摆长，代入单摆周期公式计算得到的重力加速度值偏大</w:t>
      </w:r>
    </w:p>
    <w:p>
      <w:pPr>
        <w:jc w:val="left"/>
        <w:textAlignment w:val="center"/>
      </w:pPr>
      <w:r>
        <w:t>D．选择密度较小的摆球，测得的重力加速度值误差较小</w:t>
      </w:r>
    </w:p>
    <w:p>
      <w:pPr>
        <w:jc w:val="left"/>
        <w:textAlignment w:val="center"/>
      </w:pPr>
      <w:r>
        <w:drawing>
          <wp:anchor distT="0" distB="0" distL="114300" distR="114300" simplePos="0" relativeHeight="251664384" behindDoc="0" locked="0" layoutInCell="1" allowOverlap="1">
            <wp:simplePos x="0" y="0"/>
            <wp:positionH relativeFrom="column">
              <wp:posOffset>3402330</wp:posOffset>
            </wp:positionH>
            <wp:positionV relativeFrom="paragraph">
              <wp:posOffset>266700</wp:posOffset>
            </wp:positionV>
            <wp:extent cx="1066800" cy="888365"/>
            <wp:effectExtent l="0" t="0" r="0" b="6985"/>
            <wp:wrapSquare wrapText="bothSides"/>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066800" cy="888365"/>
                    </a:xfrm>
                    <a:prstGeom prst="rect">
                      <a:avLst/>
                    </a:prstGeom>
                  </pic:spPr>
                </pic:pic>
              </a:graphicData>
            </a:graphic>
          </wp:anchor>
        </w:drawing>
      </w:r>
      <w:r>
        <w:t>（3）测量出多组周期</w:t>
      </w:r>
      <w:r>
        <w:rPr>
          <w:rFonts w:eastAsia="Times New Roman"/>
          <w:i/>
        </w:rPr>
        <w:t>T</w:t>
      </w:r>
      <w:r>
        <w:t>、摆长</w:t>
      </w:r>
      <w:r>
        <w:rPr>
          <w:rFonts w:eastAsia="Times New Roman"/>
          <w:i/>
        </w:rPr>
        <w:t>L</w:t>
      </w:r>
      <w:r>
        <w:t>的数值后，画出</w:t>
      </w:r>
      <w:r>
        <w:rPr>
          <w:rFonts w:eastAsia="Times New Roman"/>
          <w:i/>
        </w:rPr>
        <w:t>T</w:t>
      </w:r>
      <w:r>
        <w:rPr>
          <w:rFonts w:eastAsia="Times New Roman"/>
          <w:i/>
          <w:vertAlign w:val="superscript"/>
        </w:rPr>
        <w:t>2</w:t>
      </w:r>
      <w:r>
        <w:t>­</w:t>
      </w:r>
      <w:r>
        <w:rPr>
          <w:rFonts w:eastAsia="Times New Roman"/>
          <w:i/>
        </w:rPr>
        <w:t>L</w:t>
      </w:r>
      <w:r>
        <w:t>图线如图所示，此图线斜率的物理意义是______。</w:t>
      </w:r>
    </w:p>
    <w:p>
      <w:pPr>
        <w:jc w:val="left"/>
        <w:textAlignment w:val="center"/>
      </w:pPr>
    </w:p>
    <w:p>
      <w:pPr>
        <w:jc w:val="left"/>
        <w:textAlignment w:val="center"/>
      </w:pPr>
      <w:r>
        <w:t>A．</w:t>
      </w:r>
      <w:r>
        <w:rPr>
          <w:rFonts w:eastAsia="Times New Roman"/>
          <w:i/>
        </w:rPr>
        <w:t>g</w:t>
      </w:r>
      <w:r>
        <w:rPr>
          <w:rFonts w:ascii="'Times New Roman'" w:hAnsi="'Times New Roman'" w:eastAsia="'Times New Roman'" w:cs="'Times New Roman'"/>
        </w:rPr>
        <w:t>          </w:t>
      </w:r>
      <w:r>
        <w:t>B．</w:t>
      </w:r>
      <m:oMath>
        <m:f>
          <m:fPr>
            <m:ctrlPr>
              <w:rPr>
                <w:rFonts w:ascii="Cambria Math" w:hAnsi="Cambria Math"/>
                <w:i/>
              </w:rPr>
            </m:ctrlPr>
          </m:fPr>
          <m:num>
            <m:r>
              <m:rPr/>
              <w:rPr>
                <w:rFonts w:ascii="Cambria Math" w:hAnsi="Cambria Math"/>
              </w:rPr>
              <m:t>L</m:t>
            </m:r>
            <m:ctrlPr>
              <w:rPr>
                <w:rFonts w:ascii="Cambria Math" w:hAnsi="Cambria Math"/>
                <w:i/>
              </w:rPr>
            </m:ctrlPr>
          </m:num>
          <m:den>
            <m:r>
              <m:rPr/>
              <w:rPr>
                <w:rFonts w:ascii="Cambria Math" w:hAnsi="Cambria Math"/>
              </w:rPr>
              <m:t>g</m:t>
            </m:r>
            <m:ctrlPr>
              <w:rPr>
                <w:rFonts w:ascii="Cambria Math" w:hAnsi="Cambria Math"/>
                <w:i/>
              </w:rPr>
            </m:ctrlPr>
          </m:den>
        </m:f>
      </m:oMath>
      <w:r>
        <w:t xml:space="preserve"> C．</w:t>
      </w:r>
      <m:oMath>
        <m:f>
          <m:fPr>
            <m:ctrlPr>
              <w:rPr>
                <w:rFonts w:ascii="Cambria Math" w:hAnsi="Cambria Math"/>
                <w:i/>
              </w:rPr>
            </m:ctrlPr>
          </m:fPr>
          <m:num>
            <m:r>
              <m:rPr/>
              <w:rPr>
                <w:rFonts w:ascii="Cambria Math" w:hAnsi="Cambria Math"/>
              </w:rPr>
              <m:t>4</m:t>
            </m:r>
            <m:sSup>
              <m:sSupPr>
                <m:ctrlPr>
                  <w:rPr>
                    <w:rFonts w:ascii="Cambria Math" w:hAnsi="Cambria Math"/>
                    <w:i/>
                  </w:rPr>
                </m:ctrlPr>
              </m:sSupPr>
              <m:e>
                <m:r>
                  <m:rPr/>
                  <w:rPr>
                    <w:rFonts w:ascii="Cambria Math" w:hAnsi="Cambria Math"/>
                  </w:rPr>
                  <m:t>π</m:t>
                </m:r>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num>
          <m:den>
            <m:r>
              <m:rPr/>
              <w:rPr>
                <w:rFonts w:ascii="Cambria Math" w:hAnsi="Cambria Math"/>
              </w:rPr>
              <m:t>g</m:t>
            </m:r>
            <m:ctrlPr>
              <w:rPr>
                <w:rFonts w:ascii="Cambria Math" w:hAnsi="Cambria Math"/>
                <w:i/>
              </w:rPr>
            </m:ctrlPr>
          </m:den>
        </m:f>
      </m:oMath>
      <w:r>
        <w:rPr>
          <w:rFonts w:ascii="'Times New Roman'" w:hAnsi="'Times New Roman'" w:eastAsia="'Times New Roman'" w:cs="'Times New Roman'"/>
        </w:rPr>
        <w:t>        </w:t>
      </w:r>
      <w:r>
        <w:t>D．</w:t>
      </w:r>
      <m:oMath>
        <m:f>
          <m:fPr>
            <m:ctrlPr>
              <w:rPr>
                <w:rFonts w:ascii="Cambria Math" w:hAnsi="Cambria Math"/>
                <w:i/>
              </w:rPr>
            </m:ctrlPr>
          </m:fPr>
          <m:num>
            <m:r>
              <m:rPr/>
              <w:rPr>
                <w:rFonts w:ascii="Cambria Math"/>
              </w:rPr>
              <m:t>g</m:t>
            </m:r>
            <m:ctrlPr>
              <w:rPr>
                <w:rFonts w:ascii="Cambria Math" w:hAnsi="Cambria Math"/>
                <w:i/>
              </w:rPr>
            </m:ctrlPr>
          </m:num>
          <m:den>
            <m:r>
              <m:rPr/>
              <w:rPr>
                <w:rFonts w:ascii="Cambria Math"/>
              </w:rPr>
              <m:t>4</m:t>
            </m:r>
            <m:sSup>
              <m:sSupPr>
                <m:ctrlPr>
                  <w:rPr>
                    <w:rFonts w:ascii="Cambria Math" w:hAnsi="Cambria Math"/>
                    <w:i/>
                  </w:rPr>
                </m:ctrlPr>
              </m:sSupPr>
              <m:e>
                <m:r>
                  <m:rPr/>
                  <w:rPr>
                    <w:rFonts w:ascii="Cambria Math"/>
                  </w:rPr>
                  <m:t>π</m:t>
                </m:r>
                <m:ctrlPr>
                  <w:rPr>
                    <w:rFonts w:ascii="Cambria Math" w:hAnsi="Cambria Math"/>
                    <w:i/>
                  </w:rPr>
                </m:ctrlPr>
              </m:e>
              <m:sup>
                <m:r>
                  <m:rPr/>
                  <w:rPr>
                    <w:rFonts w:ascii="Cambria Math"/>
                  </w:rPr>
                  <m:t>2</m:t>
                </m:r>
                <m:ctrlPr>
                  <w:rPr>
                    <w:rFonts w:ascii="Cambria Math" w:hAnsi="Cambria Math"/>
                    <w:i/>
                  </w:rPr>
                </m:ctrlPr>
              </m:sup>
            </m:sSup>
            <m:ctrlPr>
              <w:rPr>
                <w:rFonts w:ascii="Cambria Math" w:hAnsi="Cambria Math"/>
                <w:i/>
              </w:rPr>
            </m:ctrlPr>
          </m:den>
        </m:f>
      </m:oMath>
    </w:p>
    <w:p>
      <w:pPr>
        <w:jc w:val="left"/>
        <w:textAlignment w:val="center"/>
      </w:pPr>
    </w:p>
    <w:p>
      <w:pPr>
        <w:jc w:val="left"/>
        <w:textAlignment w:val="center"/>
      </w:pPr>
      <w:r>
        <w:t>（4）在（3）中，描点时若误将摆线长当作摆长，那么画出的直线将不通过原点，由图线斜率得到的重力加速度与原来相比，其大小______。</w:t>
      </w:r>
    </w:p>
    <w:p>
      <w:pPr>
        <w:jc w:val="left"/>
        <w:textAlignment w:val="center"/>
        <w:rPr>
          <w:rFonts w:ascii="'Times New Roman'" w:hAnsi="'Times New Roman'" w:eastAsia="'Times New Roman'" w:cs="'Times New Roman'"/>
        </w:rPr>
      </w:pPr>
      <w:r>
        <w:t>A．偏大</w:t>
      </w:r>
      <w:r>
        <w:rPr>
          <w:rFonts w:ascii="'Times New Roman'" w:hAnsi="'Times New Roman'" w:eastAsia="'Times New Roman'" w:cs="'Times New Roman'"/>
        </w:rPr>
        <w:t>                       </w:t>
      </w:r>
      <w:r>
        <w:t>B．偏小</w:t>
      </w:r>
      <w:r>
        <w:rPr>
          <w:rFonts w:ascii="'Times New Roman'" w:hAnsi="'Times New Roman'" w:eastAsia="'Times New Roman'" w:cs="'Times New Roman'"/>
        </w:rPr>
        <w:t>                  </w:t>
      </w:r>
    </w:p>
    <w:p>
      <w:pPr>
        <w:jc w:val="left"/>
        <w:textAlignment w:val="center"/>
      </w:pPr>
      <w:r>
        <w:t>C．不变</w:t>
      </w:r>
      <w:r>
        <w:rPr>
          <w:rFonts w:ascii="'Times New Roman'" w:hAnsi="'Times New Roman'" w:eastAsia="'Times New Roman'" w:cs="'Times New Roman'"/>
        </w:rPr>
        <w:t>                       </w:t>
      </w:r>
      <w:r>
        <w:t>D．都有可能</w:t>
      </w:r>
    </w:p>
    <w:p>
      <w:pPr>
        <w:jc w:val="left"/>
        <w:textAlignment w:val="center"/>
      </w:pPr>
      <w:r>
        <w:t>14．某小组做测定玻璃的折射率实验，所用器材有：玻璃砖，大头针，刻度尺，圆规，笔，白纸。</w:t>
      </w:r>
    </w:p>
    <w:p>
      <w:pPr>
        <w:jc w:val="left"/>
        <w:textAlignment w:val="center"/>
      </w:pPr>
      <w:r>
        <w:t>(1)下列哪些措施能够提高实验准确程度(    )</w:t>
      </w:r>
    </w:p>
    <w:p>
      <w:pPr>
        <w:jc w:val="left"/>
        <w:textAlignment w:val="center"/>
      </w:pPr>
      <w:r>
        <w:t>A．选用两光学表面间距大的玻璃砖</w:t>
      </w:r>
    </w:p>
    <w:p>
      <w:pPr>
        <w:jc w:val="left"/>
        <w:textAlignment w:val="center"/>
      </w:pPr>
      <w:r>
        <w:t>B．选用两光学表面平行的玻璃砖</w:t>
      </w:r>
    </w:p>
    <w:p>
      <w:pPr>
        <w:jc w:val="left"/>
        <w:textAlignment w:val="center"/>
      </w:pPr>
      <w:r>
        <w:t>C．选用粗的大头针完成实验</w:t>
      </w:r>
    </w:p>
    <w:p>
      <w:pPr>
        <w:jc w:val="left"/>
        <w:textAlignment w:val="center"/>
      </w:pPr>
      <w:r>
        <w:t>D．插在玻璃砖同侧的两枚大头针间的距离尽量大些</w:t>
      </w:r>
    </w:p>
    <w:p>
      <w:pPr>
        <w:jc w:val="left"/>
        <w:textAlignment w:val="center"/>
      </w:pPr>
      <w:r>
        <w:t>(2)该小组用同一套器材完成了四次实验，记录的玻璃砖界线和四个大头针扎下的孔洞如下图所示，其中实验操作正确的是______；</w:t>
      </w:r>
    </w:p>
    <w:p>
      <w:pPr>
        <w:jc w:val="left"/>
        <w:textAlignment w:val="center"/>
      </w:pPr>
      <w:r>
        <w:t>A．</w:t>
      </w:r>
      <w:r>
        <w:drawing>
          <wp:inline distT="0" distB="0" distL="0" distR="0">
            <wp:extent cx="797560" cy="936625"/>
            <wp:effectExtent l="0" t="0" r="254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33"/>
                    <a:stretch>
                      <a:fillRect/>
                    </a:stretch>
                  </pic:blipFill>
                  <pic:spPr>
                    <a:xfrm>
                      <a:off x="0" y="0"/>
                      <a:ext cx="809306" cy="950463"/>
                    </a:xfrm>
                    <a:prstGeom prst="rect">
                      <a:avLst/>
                    </a:prstGeom>
                  </pic:spPr>
                </pic:pic>
              </a:graphicData>
            </a:graphic>
          </wp:inline>
        </w:drawing>
      </w:r>
      <w:r>
        <w:t>B．</w:t>
      </w:r>
      <w:r>
        <w:drawing>
          <wp:inline distT="0" distB="0" distL="0" distR="0">
            <wp:extent cx="790575" cy="90043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34"/>
                    <a:stretch>
                      <a:fillRect/>
                    </a:stretch>
                  </pic:blipFill>
                  <pic:spPr>
                    <a:xfrm>
                      <a:off x="0" y="0"/>
                      <a:ext cx="805117" cy="917459"/>
                    </a:xfrm>
                    <a:prstGeom prst="rect">
                      <a:avLst/>
                    </a:prstGeom>
                  </pic:spPr>
                </pic:pic>
              </a:graphicData>
            </a:graphic>
          </wp:inline>
        </w:drawing>
      </w:r>
      <w:r>
        <w:t>C．</w:t>
      </w:r>
      <w:r>
        <w:drawing>
          <wp:inline distT="0" distB="0" distL="0" distR="0">
            <wp:extent cx="803910" cy="917575"/>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35"/>
                    <a:stretch>
                      <a:fillRect/>
                    </a:stretch>
                  </pic:blipFill>
                  <pic:spPr>
                    <a:xfrm>
                      <a:off x="0" y="0"/>
                      <a:ext cx="822193" cy="938271"/>
                    </a:xfrm>
                    <a:prstGeom prst="rect">
                      <a:avLst/>
                    </a:prstGeom>
                  </pic:spPr>
                </pic:pic>
              </a:graphicData>
            </a:graphic>
          </wp:inline>
        </w:drawing>
      </w:r>
      <w:r>
        <w:t>D．</w:t>
      </w:r>
      <w:r>
        <w:drawing>
          <wp:inline distT="0" distB="0" distL="0" distR="0">
            <wp:extent cx="829310" cy="914400"/>
            <wp:effectExtent l="0" t="0" r="889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36"/>
                    <a:stretch>
                      <a:fillRect/>
                    </a:stretch>
                  </pic:blipFill>
                  <pic:spPr>
                    <a:xfrm>
                      <a:off x="0" y="0"/>
                      <a:ext cx="848929" cy="935751"/>
                    </a:xfrm>
                    <a:prstGeom prst="rect">
                      <a:avLst/>
                    </a:prstGeom>
                  </pic:spPr>
                </pic:pic>
              </a:graphicData>
            </a:graphic>
          </wp:inline>
        </w:drawing>
      </w:r>
    </w:p>
    <w:p>
      <w:pPr>
        <w:jc w:val="left"/>
        <w:textAlignment w:val="center"/>
      </w:pPr>
      <w:r>
        <w:t>(3)该小组选取了操作正确的实验记录，在白纸上画出光线的径迹，以入射点</w:t>
      </w:r>
      <w:r>
        <w:rPr>
          <w:rFonts w:eastAsia="Times New Roman"/>
          <w:i/>
        </w:rPr>
        <w:t>O</w:t>
      </w:r>
      <w:r>
        <w:t>为圆心作圆，与入射光线、折射光线分别交于</w:t>
      </w:r>
      <w:r>
        <w:rPr>
          <w:rFonts w:eastAsia="Times New Roman"/>
          <w:i/>
        </w:rPr>
        <w:t>A</w:t>
      </w:r>
      <w:r>
        <w:t>、</w:t>
      </w:r>
      <w:r>
        <w:rPr>
          <w:rFonts w:eastAsia="Times New Roman"/>
          <w:i/>
        </w:rPr>
        <w:t>B</w:t>
      </w:r>
      <w:r>
        <w:t>点，再过</w:t>
      </w:r>
      <w:r>
        <w:rPr>
          <w:rFonts w:eastAsia="Times New Roman"/>
          <w:i/>
        </w:rPr>
        <w:t>A</w:t>
      </w:r>
      <w:r>
        <w:t>、</w:t>
      </w:r>
      <w:r>
        <w:rPr>
          <w:rFonts w:eastAsia="Times New Roman"/>
          <w:i/>
        </w:rPr>
        <w:t>B</w:t>
      </w:r>
      <w:r>
        <w:t>点作法线</w:t>
      </w:r>
      <w:r>
        <w:rPr>
          <w:rFonts w:eastAsia="Times New Roman"/>
          <w:i/>
        </w:rPr>
        <w:t>NN</w:t>
      </w:r>
      <w:r>
        <w:t>'的垂线，垂足分别为</w:t>
      </w:r>
      <w:r>
        <w:rPr>
          <w:rFonts w:eastAsia="Times New Roman"/>
          <w:i/>
        </w:rPr>
        <w:t>C</w:t>
      </w:r>
      <w:r>
        <w:t>、</w:t>
      </w:r>
      <w:r>
        <w:rPr>
          <w:rFonts w:eastAsia="Times New Roman"/>
          <w:i/>
        </w:rPr>
        <w:t>D</w:t>
      </w:r>
      <w:r>
        <w:t>点，如图甲所示，则玻璃的折射率</w:t>
      </w:r>
      <w:r>
        <w:rPr>
          <w:rFonts w:eastAsia="Times New Roman"/>
          <w:i/>
        </w:rPr>
        <w:t xml:space="preserve">n = </w:t>
      </w:r>
      <w:r>
        <w:t>______；（用图中线段的字母表示）</w:t>
      </w:r>
    </w:p>
    <w:p>
      <w:pPr>
        <w:jc w:val="left"/>
        <w:textAlignment w:val="center"/>
      </w:pPr>
      <w:r>
        <w:drawing>
          <wp:inline distT="0" distB="0" distL="0" distR="0">
            <wp:extent cx="3596005" cy="1209675"/>
            <wp:effectExtent l="0" t="0" r="4445"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37"/>
                    <a:stretch>
                      <a:fillRect/>
                    </a:stretch>
                  </pic:blipFill>
                  <pic:spPr>
                    <a:xfrm>
                      <a:off x="0" y="0"/>
                      <a:ext cx="3656983" cy="1230017"/>
                    </a:xfrm>
                    <a:prstGeom prst="rect">
                      <a:avLst/>
                    </a:prstGeom>
                  </pic:spPr>
                </pic:pic>
              </a:graphicData>
            </a:graphic>
          </wp:inline>
        </w:drawing>
      </w:r>
    </w:p>
    <w:p>
      <w:pPr>
        <w:jc w:val="left"/>
        <w:textAlignment w:val="center"/>
      </w:pPr>
      <w:r>
        <w:t>(4)在用针插法测定玻璃砖折射率的实验中，甲、乙二位同学在纸上画出的界面</w:t>
      </w:r>
      <m:oMath>
        <m:r>
          <m:rPr/>
          <w:rPr>
            <w:rFonts w:ascii="Cambria Math" w:hAnsi="Cambria Math"/>
          </w:rPr>
          <m:t>a</m:t>
        </m:r>
        <m:sSup>
          <m:sSupPr>
            <m:ctrlPr>
              <w:rPr>
                <w:rFonts w:ascii="Cambria Math" w:hAnsi="Cambria Math"/>
                <w:i/>
              </w:rPr>
            </m:ctrlPr>
          </m:sSupPr>
          <m:e>
            <m:r>
              <m:rPr/>
              <w:rPr>
                <w:rFonts w:ascii="Cambria Math" w:hAnsi="Cambria Math"/>
              </w:rPr>
              <m:t>a</m:t>
            </m:r>
            <m:ctrlPr>
              <w:rPr>
                <w:rFonts w:ascii="Cambria Math" w:hAnsi="Cambria Math"/>
                <w:i/>
              </w:rPr>
            </m:ctrlPr>
          </m:e>
          <m:sup>
            <m:r>
              <m:rPr/>
              <w:rPr>
                <w:rFonts w:ascii="Cambria Math" w:hAnsi="Cambria Math"/>
              </w:rPr>
              <m:t>'</m:t>
            </m:r>
            <m:ctrlPr>
              <w:rPr>
                <w:rFonts w:ascii="Cambria Math" w:hAnsi="Cambria Math"/>
                <w:i/>
              </w:rPr>
            </m:ctrlPr>
          </m:sup>
        </m:sSup>
      </m:oMath>
      <w:r>
        <w:t>、</w:t>
      </w:r>
      <m:oMath>
        <m:r>
          <m:rPr/>
          <w:rPr>
            <w:rFonts w:ascii="Cambria Math" w:hAnsi="Cambria Math"/>
          </w:rPr>
          <m:t>b</m:t>
        </m:r>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m:t>
            </m:r>
            <m:ctrlPr>
              <w:rPr>
                <w:rFonts w:ascii="Cambria Math" w:hAnsi="Cambria Math"/>
                <w:i/>
              </w:rPr>
            </m:ctrlPr>
          </m:sup>
        </m:sSup>
      </m:oMath>
      <w:r>
        <w:t>与玻璃砖位置的关系分别如图乙中</w:t>
      </w:r>
      <w:r>
        <w:rPr>
          <w:rFonts w:hint="eastAsia" w:ascii="宋体" w:hAnsi="宋体" w:cs="宋体"/>
        </w:rPr>
        <w:t>①</w:t>
      </w:r>
      <w:r>
        <w:t>、</w:t>
      </w:r>
      <w:r>
        <w:rPr>
          <w:rFonts w:hint="eastAsia" w:ascii="宋体" w:hAnsi="宋体" w:cs="宋体"/>
        </w:rPr>
        <w:t>②</w:t>
      </w:r>
      <w:r>
        <w:t>所示，其中甲同学用的是矩形玻璃砖，乙同学用的是梯形玻璃砖。他们的其他操作均正确，且均以</w:t>
      </w:r>
      <m:oMath>
        <m:r>
          <m:rPr/>
          <w:rPr>
            <w:rFonts w:ascii="Cambria Math" w:hAnsi="Cambria Math"/>
          </w:rPr>
          <m:t>a</m:t>
        </m:r>
        <m:sSup>
          <m:sSupPr>
            <m:ctrlPr>
              <w:rPr>
                <w:rFonts w:ascii="Cambria Math" w:hAnsi="Cambria Math"/>
                <w:i/>
              </w:rPr>
            </m:ctrlPr>
          </m:sSupPr>
          <m:e>
            <m:r>
              <m:rPr/>
              <w:rPr>
                <w:rFonts w:ascii="Cambria Math" w:hAnsi="Cambria Math"/>
              </w:rPr>
              <m:t>a</m:t>
            </m:r>
            <m:ctrlPr>
              <w:rPr>
                <w:rFonts w:ascii="Cambria Math" w:hAnsi="Cambria Math"/>
                <w:i/>
              </w:rPr>
            </m:ctrlPr>
          </m:e>
          <m:sup>
            <m:r>
              <m:rPr/>
              <w:rPr>
                <w:rFonts w:ascii="Cambria Math" w:hAnsi="Cambria Math"/>
              </w:rPr>
              <m:t>'</m:t>
            </m:r>
            <m:ctrlPr>
              <w:rPr>
                <w:rFonts w:ascii="Cambria Math" w:hAnsi="Cambria Math"/>
                <w:i/>
              </w:rPr>
            </m:ctrlPr>
          </m:sup>
        </m:sSup>
      </m:oMath>
      <w:r>
        <w:t>、</w:t>
      </w:r>
      <m:oMath>
        <m:r>
          <m:rPr/>
          <w:rPr>
            <w:rFonts w:ascii="Cambria Math"/>
          </w:rPr>
          <m:t>b</m:t>
        </m:r>
        <m:sSup>
          <m:sSupPr>
            <m:ctrlPr>
              <w:rPr>
                <w:rFonts w:ascii="Cambria Math" w:hAnsi="Cambria Math"/>
                <w:i/>
              </w:rPr>
            </m:ctrlPr>
          </m:sSupPr>
          <m:e>
            <m:r>
              <m:rPr/>
              <w:rPr>
                <w:rFonts w:ascii="Cambria Math"/>
              </w:rPr>
              <m:t>b</m:t>
            </m:r>
            <m:ctrlPr>
              <w:rPr>
                <w:rFonts w:ascii="Cambria Math" w:hAnsi="Cambria Math"/>
                <w:i/>
              </w:rPr>
            </m:ctrlPr>
          </m:e>
          <m:sup>
            <m:r>
              <m:rPr/>
              <w:rPr>
                <w:rFonts w:ascii="Cambria Math"/>
              </w:rPr>
              <m:t>'</m:t>
            </m:r>
            <m:ctrlPr>
              <w:rPr>
                <w:rFonts w:ascii="Cambria Math" w:hAnsi="Cambria Math"/>
                <w:i/>
              </w:rPr>
            </m:ctrlPr>
          </m:sup>
        </m:sSup>
      </m:oMath>
      <w:r>
        <w:t>为界面画光路图。则甲同学测得的折射率与真实值相比_____（填“偏大”、“偏小”或“不变”）；乙同学测得的折射率与真实值相比______（填“偏大”、“偏小”或“不变”）。</w:t>
      </w:r>
    </w:p>
    <w:p>
      <w:pPr>
        <w:jc w:val="left"/>
        <w:textAlignment w:val="center"/>
      </w:pPr>
    </w:p>
    <w:p>
      <w:pPr>
        <w:rPr>
          <w:b/>
        </w:rPr>
      </w:pPr>
      <w:r>
        <w:rPr>
          <w:rFonts w:hint="eastAsia"/>
          <w:b/>
        </w:rPr>
        <w:t>三、计算题（共4</w:t>
      </w:r>
      <w:r>
        <w:rPr>
          <w:b/>
        </w:rPr>
        <w:t>1</w:t>
      </w:r>
      <w:r>
        <w:rPr>
          <w:rFonts w:hint="eastAsia"/>
          <w:b/>
        </w:rPr>
        <w:t>分）</w:t>
      </w:r>
    </w:p>
    <w:p>
      <w:pPr>
        <w:jc w:val="left"/>
        <w:textAlignment w:val="center"/>
      </w:pPr>
      <w:r>
        <w:t>15．</w:t>
      </w:r>
      <w:r>
        <w:rPr>
          <w:rFonts w:hint="eastAsia"/>
        </w:rPr>
        <w:t>（</w:t>
      </w:r>
      <w:r>
        <w:t>8</w:t>
      </w:r>
      <w:r>
        <w:rPr>
          <w:rFonts w:hint="eastAsia"/>
        </w:rPr>
        <w:t>分）</w:t>
      </w:r>
      <w:r>
        <w:t>我国中微子探测实验利用光电管把光信号转换为电信号。如图所示，A和K分别是光电管的阳极和阴极，加在A、K之间的电压为</w:t>
      </w:r>
      <w:r>
        <w:rPr>
          <w:rFonts w:eastAsia="Times New Roman"/>
          <w:i/>
        </w:rPr>
        <w:t>U</w:t>
      </w:r>
      <w:r>
        <w:t>。现用发光功率为</w:t>
      </w:r>
      <w:r>
        <w:rPr>
          <w:rFonts w:eastAsia="Times New Roman"/>
          <w:i/>
        </w:rPr>
        <w:t>P</w:t>
      </w:r>
      <w:r>
        <w:t>的激光器发出频率为</w:t>
      </w:r>
      <w:r>
        <w:rPr>
          <w:rFonts w:eastAsia="Times New Roman"/>
          <w:i/>
        </w:rPr>
        <w:t>ν</w:t>
      </w:r>
      <w:r>
        <w:t>的光全部照射在K上，回路中形成电流。已知阴极K材料的逸出功为</w:t>
      </w:r>
      <w:r>
        <w:rPr>
          <w:rFonts w:eastAsia="Times New Roman"/>
          <w:i/>
        </w:rPr>
        <w:t>W</w:t>
      </w:r>
      <w:r>
        <w:rPr>
          <w:rFonts w:eastAsia="Times New Roman"/>
          <w:i/>
          <w:vertAlign w:val="subscript"/>
        </w:rPr>
        <w:t>0</w:t>
      </w:r>
      <w:r>
        <w:t>，普朗克常量为</w:t>
      </w:r>
      <w:r>
        <w:rPr>
          <w:rFonts w:eastAsia="Times New Roman"/>
          <w:i/>
        </w:rPr>
        <w:t>h</w:t>
      </w:r>
      <w:r>
        <w:t>，电子电荷量为</w:t>
      </w:r>
      <w:r>
        <w:rPr>
          <w:rFonts w:eastAsia="Times New Roman"/>
          <w:i/>
        </w:rPr>
        <w:t>e</w:t>
      </w:r>
      <w:r>
        <w:t>。</w:t>
      </w:r>
    </w:p>
    <w:p>
      <w:pPr>
        <w:jc w:val="left"/>
        <w:textAlignment w:val="center"/>
      </w:pPr>
      <w:r>
        <w:t>（1）若对调电源正、负极，光电管两端电压至少为多少，才可使电流表G示数为零；</w:t>
      </w:r>
    </w:p>
    <w:p>
      <w:pPr>
        <w:jc w:val="left"/>
        <w:textAlignment w:val="center"/>
      </w:pPr>
      <w:r>
        <w:t>（2）若每入射100个光子会产生1个光电子，所有的光电子都能到达A，求回路的电流强度</w:t>
      </w:r>
      <w:r>
        <w:rPr>
          <w:rFonts w:eastAsia="Times New Roman"/>
          <w:i/>
        </w:rPr>
        <w:t>I</w:t>
      </w:r>
      <w:r>
        <w:t>.</w:t>
      </w:r>
    </w:p>
    <w:p>
      <w:pPr>
        <w:jc w:val="left"/>
        <w:textAlignment w:val="center"/>
      </w:pPr>
      <w:r>
        <w:drawing>
          <wp:inline distT="0" distB="0" distL="0" distR="0">
            <wp:extent cx="1212850" cy="1190625"/>
            <wp:effectExtent l="0" t="0" r="635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38"/>
                    <a:stretch>
                      <a:fillRect/>
                    </a:stretch>
                  </pic:blipFill>
                  <pic:spPr>
                    <a:xfrm>
                      <a:off x="0" y="0"/>
                      <a:ext cx="1222605" cy="1199859"/>
                    </a:xfrm>
                    <a:prstGeom prst="rect">
                      <a:avLst/>
                    </a:prstGeom>
                  </pic:spPr>
                </pic:pic>
              </a:graphicData>
            </a:graphic>
          </wp:inline>
        </w:drawing>
      </w:r>
    </w:p>
    <w:p>
      <w:pPr>
        <w:jc w:val="left"/>
        <w:textAlignment w:val="center"/>
      </w:pPr>
      <w:r>
        <w:drawing>
          <wp:anchor distT="0" distB="0" distL="114300" distR="114300" simplePos="0" relativeHeight="251665408" behindDoc="0" locked="0" layoutInCell="1" allowOverlap="1">
            <wp:simplePos x="0" y="0"/>
            <wp:positionH relativeFrom="margin">
              <wp:posOffset>4363720</wp:posOffset>
            </wp:positionH>
            <wp:positionV relativeFrom="paragraph">
              <wp:posOffset>478155</wp:posOffset>
            </wp:positionV>
            <wp:extent cx="923925" cy="1061085"/>
            <wp:effectExtent l="0" t="0" r="9525" b="5715"/>
            <wp:wrapSquare wrapText="bothSides"/>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923925" cy="1061085"/>
                    </a:xfrm>
                    <a:prstGeom prst="rect">
                      <a:avLst/>
                    </a:prstGeom>
                  </pic:spPr>
                </pic:pic>
              </a:graphicData>
            </a:graphic>
          </wp:anchor>
        </w:drawing>
      </w:r>
      <w:r>
        <w:t>16．</w:t>
      </w:r>
      <w:r>
        <w:rPr>
          <w:rFonts w:hint="eastAsia"/>
        </w:rPr>
        <w:t>（</w:t>
      </w:r>
      <w:r>
        <w:t>10</w:t>
      </w:r>
      <w:r>
        <w:rPr>
          <w:rFonts w:hint="eastAsia"/>
        </w:rPr>
        <w:t>分）</w:t>
      </w:r>
      <w:r>
        <w:t>如图所示，质量为</w:t>
      </w:r>
      <w:r>
        <w:rPr>
          <w:rFonts w:eastAsia="Times New Roman"/>
          <w:i/>
        </w:rPr>
        <w:t>m</w:t>
      </w:r>
      <w:r>
        <w:rPr>
          <w:rFonts w:eastAsia="Times New Roman"/>
          <w:i/>
          <w:vertAlign w:val="subscript"/>
        </w:rPr>
        <w:t>A</w:t>
      </w:r>
      <w:r>
        <w:t>=150g的平台A连接在劲度系数</w:t>
      </w:r>
      <w:r>
        <w:rPr>
          <w:rFonts w:eastAsia="Times New Roman"/>
          <w:i/>
        </w:rPr>
        <w:t>k</w:t>
      </w:r>
      <w:r>
        <w:t>=100N/m的弹簧上端，弹簧下端固定在地上，形成竖直方向的弹簧振子，将质量为</w:t>
      </w:r>
      <w:r>
        <w:rPr>
          <w:rFonts w:eastAsia="Times New Roman"/>
          <w:i/>
        </w:rPr>
        <w:t>m</w:t>
      </w:r>
      <w:r>
        <w:rPr>
          <w:rFonts w:eastAsia="Times New Roman"/>
          <w:i/>
          <w:vertAlign w:val="subscript"/>
        </w:rPr>
        <w:t>B</w:t>
      </w:r>
      <w:r>
        <w:t>=50g的物块B置于A的上方，使A、B两物块一起上下振动．弹簧原长为</w:t>
      </w:r>
      <w:r>
        <w:rPr>
          <w:rFonts w:eastAsia="Times New Roman"/>
          <w:i/>
        </w:rPr>
        <w:t>l</w:t>
      </w:r>
      <w:r>
        <w:rPr>
          <w:rFonts w:eastAsia="Times New Roman"/>
          <w:i/>
          <w:vertAlign w:val="subscript"/>
        </w:rPr>
        <w:t>0</w:t>
      </w:r>
      <w:r>
        <w:t>=6cm，A的厚度可忽略不计，</w:t>
      </w:r>
      <w:r>
        <w:rPr>
          <w:rFonts w:eastAsia="Times New Roman"/>
          <w:i/>
        </w:rPr>
        <w:t>g</w:t>
      </w:r>
      <w:r>
        <w:t>取10m/s</w:t>
      </w:r>
      <w:r>
        <w:rPr>
          <w:vertAlign w:val="superscript"/>
        </w:rPr>
        <w:t>2</w:t>
      </w:r>
      <w:r>
        <w:t>。求：</w:t>
      </w:r>
    </w:p>
    <w:p>
      <w:pPr>
        <w:jc w:val="left"/>
        <w:textAlignment w:val="center"/>
      </w:pPr>
      <w:r>
        <w:t>(1)当系统做小振幅简谐振动时，A的平衡位置离地面C的高度；</w:t>
      </w:r>
    </w:p>
    <w:p>
      <w:pPr>
        <w:jc w:val="left"/>
        <w:textAlignment w:val="center"/>
      </w:pPr>
      <w:r>
        <w:t>(2)当振幅为1cm时，B对A的最大压力；</w:t>
      </w:r>
    </w:p>
    <w:p>
      <w:pPr>
        <w:jc w:val="left"/>
        <w:textAlignment w:val="center"/>
      </w:pPr>
      <w:r>
        <w:t>(3)为使B在振动中始终与A接触，振幅不能超过多大？</w:t>
      </w:r>
    </w:p>
    <w:p>
      <w:pPr>
        <w:jc w:val="left"/>
        <w:textAlignment w:val="center"/>
      </w:pPr>
    </w:p>
    <w:p>
      <w:pPr>
        <w:jc w:val="left"/>
        <w:textAlignment w:val="center"/>
      </w:pPr>
      <w:r>
        <w:t>17．</w:t>
      </w:r>
      <w:r>
        <w:rPr>
          <w:rFonts w:hint="eastAsia"/>
        </w:rPr>
        <w:t>（1</w:t>
      </w:r>
      <w:r>
        <w:t>0</w:t>
      </w:r>
      <w:r>
        <w:rPr>
          <w:rFonts w:hint="eastAsia"/>
        </w:rPr>
        <w:t>分）</w:t>
      </w:r>
      <w:r>
        <w:t>如图所示为一列沿</w:t>
      </w:r>
      <w:r>
        <w:rPr>
          <w:rFonts w:eastAsia="Times New Roman"/>
          <w:i/>
        </w:rPr>
        <w:t>x</w:t>
      </w:r>
      <w:r>
        <w:t>轴正方向传播的简谐横波，</w:t>
      </w:r>
      <w:r>
        <w:rPr>
          <w:rFonts w:eastAsia="Times New Roman"/>
          <w:i/>
        </w:rPr>
        <w:t>t</w:t>
      </w:r>
      <w:r>
        <w:t>=0时刻0~25m部分的波形图如图中实线，经过Δ</w:t>
      </w:r>
      <w:r>
        <w:rPr>
          <w:rFonts w:eastAsia="Times New Roman"/>
          <w:i/>
        </w:rPr>
        <w:t>t</w:t>
      </w:r>
      <w:r>
        <w:t>=0.3s 该部分波形图如图中虚线，已知虚线上波峰对应的平衡位置到原点0的距离为12.5m，质点</w:t>
      </w:r>
      <w:r>
        <w:rPr>
          <w:rFonts w:eastAsia="Times New Roman"/>
          <w:i/>
        </w:rPr>
        <w:t>A</w:t>
      </w:r>
      <w:r>
        <w:t>平衡位置的横坐标为</w:t>
      </w:r>
      <w:r>
        <w:rPr>
          <w:rFonts w:eastAsia="Times New Roman"/>
          <w:i/>
        </w:rPr>
        <w:t>x</w:t>
      </w:r>
      <w:r>
        <w:rPr>
          <w:rFonts w:eastAsia="Times New Roman"/>
          <w:i/>
          <w:vertAlign w:val="subscript"/>
        </w:rPr>
        <w:t>A</w:t>
      </w:r>
      <w:r>
        <w:t>=7.5m。</w:t>
      </w:r>
    </w:p>
    <w:p>
      <w:pPr>
        <w:jc w:val="left"/>
        <w:textAlignment w:val="center"/>
      </w:pPr>
      <w:r>
        <w:t>（1）求该简谐横波的波速。</w:t>
      </w:r>
    </w:p>
    <w:p>
      <w:pPr>
        <w:jc w:val="left"/>
        <w:textAlignment w:val="center"/>
      </w:pPr>
      <w:r>
        <w:t>（2）当波速取最小值时，求质点</w:t>
      </w:r>
      <w:r>
        <w:rPr>
          <w:rFonts w:eastAsia="Times New Roman"/>
          <w:i/>
        </w:rPr>
        <w:t>A</w:t>
      </w:r>
      <w:r>
        <w:t>的振动方程。</w:t>
      </w:r>
    </w:p>
    <w:p>
      <w:pPr>
        <w:jc w:val="left"/>
        <w:textAlignment w:val="center"/>
      </w:pPr>
      <w:r>
        <w:drawing>
          <wp:inline distT="0" distB="0" distL="0" distR="0">
            <wp:extent cx="1857375" cy="962025"/>
            <wp:effectExtent l="0" t="0" r="9525"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40"/>
                    <a:stretch>
                      <a:fillRect/>
                    </a:stretch>
                  </pic:blipFill>
                  <pic:spPr>
                    <a:xfrm>
                      <a:off x="0" y="0"/>
                      <a:ext cx="1871931" cy="969502"/>
                    </a:xfrm>
                    <a:prstGeom prst="rect">
                      <a:avLst/>
                    </a:prstGeom>
                  </pic:spPr>
                </pic:pic>
              </a:graphicData>
            </a:graphic>
          </wp:inline>
        </w:drawing>
      </w:r>
    </w:p>
    <w:p>
      <w:pPr>
        <w:jc w:val="left"/>
        <w:textAlignment w:val="center"/>
      </w:pPr>
      <w:r>
        <w:t>18．</w:t>
      </w:r>
      <w:r>
        <w:rPr>
          <w:rFonts w:hint="eastAsia"/>
        </w:rPr>
        <w:t>（1</w:t>
      </w:r>
      <w:r>
        <w:t>3</w:t>
      </w:r>
      <w:r>
        <w:rPr>
          <w:rFonts w:hint="eastAsia"/>
        </w:rPr>
        <w:t>分）</w:t>
      </w:r>
      <w:r>
        <w:t>如图甲所示，在空气中放有一半径为</w:t>
      </w:r>
      <w:r>
        <w:rPr>
          <w:rFonts w:eastAsia="Times New Roman"/>
          <w:i/>
        </w:rPr>
        <w:t>R</w:t>
      </w:r>
      <w:r>
        <w:t>，折射率为</w:t>
      </w:r>
      <w:r>
        <w:rPr>
          <w:rFonts w:eastAsia="Times New Roman"/>
          <w:i/>
        </w:rPr>
        <w:t>n</w:t>
      </w:r>
      <w:r>
        <w:t>=2的透明球，与球心</w:t>
      </w:r>
      <w:r>
        <w:rPr>
          <w:rFonts w:eastAsia="Times New Roman"/>
          <w:i/>
        </w:rPr>
        <w:t>O</w:t>
      </w:r>
      <w:r>
        <w:t>相距的</w:t>
      </w:r>
      <w:r>
        <w:rPr>
          <w:rFonts w:eastAsia="Times New Roman"/>
          <w:i/>
        </w:rPr>
        <w:t>A</w:t>
      </w:r>
      <w:r>
        <w:t>点</w:t>
      </w:r>
      <m:oMath>
        <m:f>
          <m:fPr>
            <m:ctrlPr>
              <w:rPr>
                <w:rFonts w:ascii="Cambria Math" w:hAnsi="Cambria Math"/>
                <w:i/>
              </w:rPr>
            </m:ctrlPr>
          </m:fPr>
          <m:num>
            <m:rad>
              <m:radPr>
                <m:degHide m:val="1"/>
                <m:ctrlPr>
                  <w:rPr>
                    <w:rFonts w:ascii="Cambria Math" w:hAnsi="Cambria Math"/>
                    <w:i/>
                  </w:rPr>
                </m:ctrlPr>
              </m:radPr>
              <m:deg>
                <m:ctrlPr>
                  <w:rPr>
                    <w:rFonts w:ascii="Cambria Math" w:hAnsi="Cambria Math"/>
                    <w:i/>
                  </w:rPr>
                </m:ctrlPr>
              </m:deg>
              <m:e>
                <m:r>
                  <m:rPr/>
                  <w:rPr>
                    <w:rFonts w:ascii="Cambria Math"/>
                  </w:rPr>
                  <m:t>3</m:t>
                </m:r>
                <m:ctrlPr>
                  <w:rPr>
                    <w:rFonts w:ascii="Cambria Math" w:hAnsi="Cambria Math"/>
                    <w:i/>
                  </w:rPr>
                </m:ctrlPr>
              </m:e>
            </m:rad>
            <m:ctrlPr>
              <w:rPr>
                <w:rFonts w:ascii="Cambria Math" w:hAnsi="Cambria Math"/>
                <w:i/>
              </w:rPr>
            </m:ctrlPr>
          </m:num>
          <m:den>
            <m:r>
              <m:rPr/>
              <w:rPr>
                <w:rFonts w:ascii="Cambria Math"/>
              </w:rPr>
              <m:t>3</m:t>
            </m:r>
            <m:ctrlPr>
              <w:rPr>
                <w:rFonts w:ascii="Cambria Math" w:hAnsi="Cambria Math"/>
                <w:i/>
              </w:rPr>
            </m:ctrlPr>
          </m:den>
        </m:f>
        <m:r>
          <m:rPr/>
          <w:rPr>
            <w:rFonts w:ascii="Cambria Math"/>
          </w:rPr>
          <m:t>R</m:t>
        </m:r>
      </m:oMath>
      <w:r>
        <w:t>处有一可向各个方向发光的点光源。求：</w:t>
      </w:r>
    </w:p>
    <w:p>
      <w:pPr>
        <w:jc w:val="left"/>
        <w:textAlignment w:val="center"/>
      </w:pPr>
      <w:r>
        <w:t>（1）光线从该透明球射向空气发生全反射时的临界角；</w:t>
      </w:r>
    </w:p>
    <w:p>
      <w:pPr>
        <w:jc w:val="left"/>
        <w:textAlignment w:val="center"/>
      </w:pPr>
      <w:r>
        <w:t>（2）光线从</w:t>
      </w:r>
      <w:r>
        <w:rPr>
          <w:rFonts w:eastAsia="Times New Roman"/>
          <w:i/>
        </w:rPr>
        <w:t>A</w:t>
      </w:r>
      <w:r>
        <w:t>点射到球内表面时入射角的最大值</w:t>
      </w:r>
      <w:r>
        <w:rPr>
          <w:rFonts w:hint="eastAsia"/>
        </w:rPr>
        <w:t>的正弦值</w:t>
      </w:r>
      <w:r>
        <w:t>；</w:t>
      </w:r>
    </w:p>
    <w:p>
      <w:pPr>
        <w:jc w:val="left"/>
        <w:textAlignment w:val="center"/>
      </w:pPr>
      <w:r>
        <w:t>（3）透明球表面有光射出部分的面积。提示：如图乙所示，球冠的面积公式为</w:t>
      </w:r>
      <m:oMath>
        <m:r>
          <m:rPr/>
          <w:rPr>
            <w:rFonts w:ascii="Cambria Math"/>
          </w:rPr>
          <m:t>S=2π</m:t>
        </m:r>
        <m:sSup>
          <m:sSupPr>
            <m:ctrlPr>
              <w:rPr>
                <w:rFonts w:ascii="Cambria Math" w:hAnsi="Cambria Math"/>
                <w:i/>
              </w:rPr>
            </m:ctrlPr>
          </m:sSupPr>
          <m:e>
            <m:r>
              <m:rPr/>
              <w:rPr>
                <w:rFonts w:ascii="Cambria Math"/>
              </w:rPr>
              <m:t>R</m:t>
            </m:r>
            <m:ctrlPr>
              <w:rPr>
                <w:rFonts w:ascii="Cambria Math" w:hAnsi="Cambria Math"/>
                <w:i/>
              </w:rPr>
            </m:ctrlPr>
          </m:e>
          <m:sup>
            <m:r>
              <m:rPr/>
              <w:rPr>
                <w:rFonts w:ascii="Cambria Math"/>
              </w:rPr>
              <m:t>2</m:t>
            </m:r>
            <m:ctrlPr>
              <w:rPr>
                <w:rFonts w:ascii="Cambria Math" w:hAnsi="Cambria Math"/>
                <w:i/>
              </w:rPr>
            </m:ctrlPr>
          </m:sup>
        </m:sSup>
        <m:r>
          <m:rPr/>
          <w:rPr>
            <w:rFonts w:ascii="Cambria Math"/>
          </w:rPr>
          <m:t>（1−cosθ）</m:t>
        </m:r>
      </m:oMath>
    </w:p>
    <w:p>
      <w:pPr>
        <w:jc w:val="left"/>
        <w:textAlignment w:val="center"/>
        <w:sectPr>
          <w:footerReference r:id="rId3" w:type="default"/>
          <w:footerReference r:id="rId4" w:type="even"/>
          <w:pgSz w:w="10319" w:h="14572"/>
          <w:pgMar w:top="1134" w:right="1134" w:bottom="1134" w:left="1134" w:header="499" w:footer="499" w:gutter="0"/>
          <w:cols w:space="425" w:num="1" w:sep="1"/>
          <w:docGrid w:type="lines" w:linePitch="312" w:charSpace="0"/>
        </w:sectPr>
      </w:pPr>
      <w:r>
        <w:drawing>
          <wp:inline distT="0" distB="0" distL="0" distR="0">
            <wp:extent cx="2241550" cy="122872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256352" cy="1236776"/>
                    </a:xfrm>
                    <a:prstGeom prst="rect">
                      <a:avLst/>
                    </a:prstGeom>
                  </pic:spPr>
                </pic:pic>
              </a:graphicData>
            </a:graphic>
          </wp:inline>
        </w:drawing>
      </w:r>
    </w:p>
    <w:p>
      <w:pPr>
        <w:textAlignment w:val="center"/>
      </w:pPr>
      <w:bookmarkStart w:id="0" w:name="_GoBack"/>
      <w:bookmarkEnd w:id="0"/>
    </w:p>
    <w:sectPr>
      <w:footerReference r:id="rId5" w:type="default"/>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egoe MDL2 Assets">
    <w:panose1 w:val="050A0102010101010101"/>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6211468"/>
      <w:docPartObj>
        <w:docPartGallery w:val="AutoText"/>
      </w:docPartObj>
    </w:sdtPr>
    <w:sdtContent>
      <w:p>
        <w:pPr>
          <w:pStyle w:val="3"/>
          <w:jc w:val="center"/>
        </w:pPr>
        <w:r>
          <w:rPr>
            <w:rFonts w:hint="eastAsia" w:ascii="楷体" w:hAnsi="楷体" w:eastAsia="楷体" w:cs="楷体"/>
            <w:b/>
            <w:bCs/>
          </w:rPr>
          <w:t>高二</w:t>
        </w:r>
        <w:r>
          <w:rPr>
            <w:rFonts w:hint="eastAsia" w:ascii="楷体" w:hAnsi="楷体" w:eastAsia="楷体" w:cs="楷体"/>
            <w:b/>
            <w:bCs/>
            <w:lang w:val="en-US" w:eastAsia="zh-CN"/>
          </w:rPr>
          <w:t xml:space="preserve">  </w:t>
        </w:r>
        <w:r>
          <w:rPr>
            <w:rFonts w:hint="eastAsia" w:ascii="楷体" w:hAnsi="楷体" w:eastAsia="楷体" w:cs="楷体"/>
            <w:b/>
            <w:bCs/>
          </w:rPr>
          <w:t>物理</w:t>
        </w:r>
        <w:r>
          <w:rPr>
            <w:rFonts w:hint="eastAsia" w:ascii="楷体" w:hAnsi="楷体" w:eastAsia="楷体" w:cs="楷体"/>
            <w:b/>
            <w:bCs/>
            <w:lang w:val="en-US" w:eastAsia="zh-CN"/>
          </w:rPr>
          <w:t xml:space="preserve">  </w:t>
        </w:r>
        <w:r>
          <w:rPr>
            <w:rFonts w:hint="eastAsia" w:ascii="楷体" w:hAnsi="楷体" w:eastAsia="楷体" w:cs="楷体"/>
            <w:b/>
            <w:bCs/>
          </w:rPr>
          <w:t xml:space="preserve">第 </w:t>
        </w:r>
        <w:r>
          <w:rPr>
            <w:rFonts w:hint="eastAsia" w:ascii="楷体" w:hAnsi="楷体" w:eastAsia="楷体" w:cs="楷体"/>
            <w:b/>
            <w:bCs/>
          </w:rPr>
          <w:fldChar w:fldCharType="begin"/>
        </w:r>
        <w:r>
          <w:rPr>
            <w:rFonts w:hint="eastAsia" w:ascii="楷体" w:hAnsi="楷体" w:eastAsia="楷体" w:cs="楷体"/>
            <w:b/>
            <w:bCs/>
          </w:rPr>
          <w:instrText xml:space="preserve">PAGE   \* MERGEFORMAT</w:instrText>
        </w:r>
        <w:r>
          <w:rPr>
            <w:rFonts w:hint="eastAsia" w:ascii="楷体" w:hAnsi="楷体" w:eastAsia="楷体" w:cs="楷体"/>
            <w:b/>
            <w:bCs/>
          </w:rPr>
          <w:fldChar w:fldCharType="separate"/>
        </w:r>
        <w:r>
          <w:rPr>
            <w:rFonts w:hint="eastAsia" w:ascii="楷体" w:hAnsi="楷体" w:eastAsia="楷体" w:cs="楷体"/>
            <w:b/>
            <w:bCs/>
            <w:lang w:val="zh-CN"/>
          </w:rPr>
          <w:t>2</w:t>
        </w:r>
        <w:r>
          <w:rPr>
            <w:rFonts w:hint="eastAsia" w:ascii="楷体" w:hAnsi="楷体" w:eastAsia="楷体" w:cs="楷体"/>
            <w:b/>
            <w:bCs/>
          </w:rPr>
          <w:fldChar w:fldCharType="end"/>
        </w:r>
        <w:r>
          <w:rPr>
            <w:rFonts w:hint="eastAsia" w:ascii="楷体" w:hAnsi="楷体" w:eastAsia="楷体" w:cs="楷体"/>
            <w:b/>
            <w:bCs/>
          </w:rPr>
          <w:t xml:space="preserve"> 页</w:t>
        </w:r>
        <w:r>
          <w:rPr>
            <w:rFonts w:hint="eastAsia" w:ascii="楷体" w:hAnsi="楷体" w:eastAsia="楷体" w:cs="楷体"/>
            <w:b/>
            <w:bCs/>
            <w:lang w:val="en-US" w:eastAsia="zh-CN"/>
          </w:rPr>
          <w:t xml:space="preserve">  </w:t>
        </w:r>
        <w:r>
          <w:rPr>
            <w:rFonts w:hint="eastAsia" w:ascii="楷体" w:hAnsi="楷体" w:eastAsia="楷体" w:cs="楷体"/>
            <w:b/>
            <w:bCs/>
          </w:rPr>
          <w:t>（共6页）</w:t>
        </w:r>
        <w:r>
          <w:rPr>
            <w:rFonts w:hint="eastAsia"/>
          </w:rPr>
          <w:t xml:space="preserve"> </w:t>
        </w:r>
      </w:p>
    </w:sdtContent>
  </w:sdt>
  <w:p>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05769C"/>
    <w:rsid w:val="0007517C"/>
    <w:rsid w:val="00146C47"/>
    <w:rsid w:val="001D7A06"/>
    <w:rsid w:val="00212B3E"/>
    <w:rsid w:val="00271AC1"/>
    <w:rsid w:val="00284433"/>
    <w:rsid w:val="002A1EC6"/>
    <w:rsid w:val="002E035E"/>
    <w:rsid w:val="002F500A"/>
    <w:rsid w:val="005B0FFE"/>
    <w:rsid w:val="005F3D53"/>
    <w:rsid w:val="00601DB6"/>
    <w:rsid w:val="00611AF2"/>
    <w:rsid w:val="006123E3"/>
    <w:rsid w:val="006553AD"/>
    <w:rsid w:val="00663E62"/>
    <w:rsid w:val="006662F7"/>
    <w:rsid w:val="0068617C"/>
    <w:rsid w:val="006B16C5"/>
    <w:rsid w:val="007226BD"/>
    <w:rsid w:val="00727AEC"/>
    <w:rsid w:val="008121D4"/>
    <w:rsid w:val="00881E2D"/>
    <w:rsid w:val="009B17BF"/>
    <w:rsid w:val="00A0640C"/>
    <w:rsid w:val="00A142F3"/>
    <w:rsid w:val="00B674DC"/>
    <w:rsid w:val="00B82FAF"/>
    <w:rsid w:val="00BF535F"/>
    <w:rsid w:val="00C806B0"/>
    <w:rsid w:val="00CF0003"/>
    <w:rsid w:val="00CF1F4B"/>
    <w:rsid w:val="00D0529E"/>
    <w:rsid w:val="00DE0907"/>
    <w:rsid w:val="00E544C8"/>
    <w:rsid w:val="00EF035E"/>
    <w:rsid w:val="00FA4532"/>
    <w:rsid w:val="29A43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7"/>
      <w:ind w:left="120"/>
    </w:pPr>
    <w:rPr>
      <w:sz w:val="21"/>
      <w:szCs w:val="21"/>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2" Type="http://schemas.openxmlformats.org/officeDocument/2006/relationships/fontTable" Target="fontTable.xml"/><Relationship Id="rId41" Type="http://schemas.openxmlformats.org/officeDocument/2006/relationships/image" Target="media/image29.png"/><Relationship Id="rId40" Type="http://schemas.openxmlformats.org/officeDocument/2006/relationships/image" Target="media/image28.png"/><Relationship Id="rId4" Type="http://schemas.openxmlformats.org/officeDocument/2006/relationships/footer" Target="footer2.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footer" Target="foot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wmf"/><Relationship Id="rId22" Type="http://schemas.openxmlformats.org/officeDocument/2006/relationships/oleObject" Target="embeddings/oleObject5.bin"/><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8.wmf"/><Relationship Id="rId17" Type="http://schemas.openxmlformats.org/officeDocument/2006/relationships/oleObject" Target="embeddings/oleObject3.bin"/><Relationship Id="rId16" Type="http://schemas.openxmlformats.org/officeDocument/2006/relationships/image" Target="media/image7.wmf"/><Relationship Id="rId15" Type="http://schemas.openxmlformats.org/officeDocument/2006/relationships/oleObject" Target="embeddings/oleObject2.bin"/><Relationship Id="rId14" Type="http://schemas.openxmlformats.org/officeDocument/2006/relationships/image" Target="media/image6.wmf"/><Relationship Id="rId13" Type="http://schemas.openxmlformats.org/officeDocument/2006/relationships/oleObject" Target="embeddings/oleObject1.bin"/><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3668</Words>
  <Characters>3898</Characters>
  <Lines>102</Lines>
  <Paragraphs>113</Paragraphs>
  <TotalTime>2</TotalTime>
  <ScaleCrop>false</ScaleCrop>
  <LinksUpToDate>false</LinksUpToDate>
  <CharactersWithSpaces>4102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旷野风光</cp:lastModifiedBy>
  <dcterms:modified xsi:type="dcterms:W3CDTF">2022-04-25T07:18:15Z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KSOProductBuildVer">
    <vt:lpwstr>2052-11.1.0.11691</vt:lpwstr>
  </property>
  <property fmtid="{D5CDD505-2E9C-101B-9397-08002B2CF9AE}" pid="4" name="ICV">
    <vt:lpwstr>3970EFB482F1446EB13E3895CA35B709</vt:lpwstr>
  </property>
</Properties>
</file>